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10" w:rsidRPr="00695110" w:rsidRDefault="00695110" w:rsidP="00E82173">
      <w:pPr>
        <w:autoSpaceDE w:val="0"/>
        <w:autoSpaceDN w:val="0"/>
        <w:adjustRightInd w:val="0"/>
        <w:rPr>
          <w:rFonts w:ascii="Arial" w:hAnsi="Arial" w:cs="Arial"/>
          <w:bCs/>
          <w:i/>
          <w:iCs/>
          <w:lang w:eastAsia="en-AU"/>
        </w:rPr>
      </w:pPr>
      <w:proofErr w:type="gramStart"/>
      <w:r>
        <w:rPr>
          <w:rFonts w:ascii="Arial" w:hAnsi="Arial" w:cs="Arial"/>
          <w:bCs/>
          <w:i/>
          <w:iCs/>
          <w:lang w:eastAsia="en-AU"/>
        </w:rPr>
        <w:t>Selenium in the Environment and Human Health.</w:t>
      </w:r>
      <w:proofErr w:type="gramEnd"/>
      <w:r>
        <w:rPr>
          <w:rFonts w:ascii="Arial" w:hAnsi="Arial" w:cs="Arial"/>
          <w:bCs/>
          <w:i/>
          <w:iCs/>
          <w:lang w:eastAsia="en-AU"/>
        </w:rPr>
        <w:t xml:space="preserve"> Banuelos, Lin &amp; Yin (</w:t>
      </w:r>
      <w:proofErr w:type="spellStart"/>
      <w:r>
        <w:rPr>
          <w:rFonts w:ascii="Arial" w:hAnsi="Arial" w:cs="Arial"/>
          <w:bCs/>
          <w:i/>
          <w:iCs/>
          <w:lang w:eastAsia="en-AU"/>
        </w:rPr>
        <w:t>Eds</w:t>
      </w:r>
      <w:proofErr w:type="spellEnd"/>
      <w:r>
        <w:rPr>
          <w:rFonts w:ascii="Arial" w:hAnsi="Arial" w:cs="Arial"/>
          <w:bCs/>
          <w:i/>
          <w:iCs/>
          <w:lang w:eastAsia="en-AU"/>
        </w:rPr>
        <w:t>). London: CRC Press 2014, pp91-92.</w:t>
      </w:r>
    </w:p>
    <w:p w:rsidR="00695110" w:rsidRPr="00695110" w:rsidRDefault="00695110" w:rsidP="00E82173">
      <w:pPr>
        <w:autoSpaceDE w:val="0"/>
        <w:autoSpaceDN w:val="0"/>
        <w:adjustRightInd w:val="0"/>
        <w:rPr>
          <w:rFonts w:ascii="Arial" w:hAnsi="Arial" w:cs="Arial"/>
          <w:bCs/>
          <w:iCs/>
          <w:lang w:eastAsia="en-AU"/>
        </w:rPr>
      </w:pPr>
    </w:p>
    <w:p w:rsidR="0026125E" w:rsidRPr="00B126AA" w:rsidRDefault="0046569E" w:rsidP="00E82173">
      <w:pPr>
        <w:autoSpaceDE w:val="0"/>
        <w:autoSpaceDN w:val="0"/>
        <w:adjustRightInd w:val="0"/>
        <w:rPr>
          <w:rFonts w:ascii="Arial" w:hAnsi="Arial" w:cs="Arial"/>
          <w:b/>
          <w:bCs/>
          <w:i/>
          <w:iCs/>
          <w:sz w:val="32"/>
          <w:szCs w:val="32"/>
          <w:lang w:eastAsia="en-AU"/>
        </w:rPr>
      </w:pPr>
      <w:r w:rsidRPr="00B126AA">
        <w:rPr>
          <w:rFonts w:ascii="Arial" w:hAnsi="Arial" w:cs="Arial"/>
          <w:b/>
          <w:bCs/>
          <w:iCs/>
          <w:sz w:val="32"/>
          <w:szCs w:val="32"/>
          <w:lang w:eastAsia="en-AU"/>
        </w:rPr>
        <w:t xml:space="preserve">Drumming up selenium and sulphur in Africa: improving nutrition with </w:t>
      </w:r>
      <w:proofErr w:type="spellStart"/>
      <w:r w:rsidRPr="00B126AA">
        <w:rPr>
          <w:rFonts w:ascii="Arial" w:hAnsi="Arial" w:cs="Arial"/>
          <w:b/>
          <w:bCs/>
          <w:i/>
          <w:iCs/>
          <w:sz w:val="32"/>
          <w:szCs w:val="32"/>
          <w:lang w:eastAsia="en-AU"/>
        </w:rPr>
        <w:t>Moringa</w:t>
      </w:r>
      <w:proofErr w:type="spellEnd"/>
      <w:r w:rsidRPr="00B126AA">
        <w:rPr>
          <w:rFonts w:ascii="Arial" w:hAnsi="Arial" w:cs="Arial"/>
          <w:b/>
          <w:bCs/>
          <w:i/>
          <w:iCs/>
          <w:sz w:val="32"/>
          <w:szCs w:val="32"/>
          <w:lang w:eastAsia="en-AU"/>
        </w:rPr>
        <w:t xml:space="preserve"> </w:t>
      </w:r>
      <w:proofErr w:type="spellStart"/>
      <w:r w:rsidRPr="00B126AA">
        <w:rPr>
          <w:rFonts w:ascii="Arial" w:hAnsi="Arial" w:cs="Arial"/>
          <w:b/>
          <w:bCs/>
          <w:i/>
          <w:iCs/>
          <w:sz w:val="32"/>
          <w:szCs w:val="32"/>
          <w:lang w:eastAsia="en-AU"/>
        </w:rPr>
        <w:t>oleifera</w:t>
      </w:r>
      <w:proofErr w:type="spellEnd"/>
    </w:p>
    <w:p w:rsidR="0046569E" w:rsidRPr="0046569E" w:rsidRDefault="0046569E" w:rsidP="00E82173">
      <w:pPr>
        <w:autoSpaceDE w:val="0"/>
        <w:autoSpaceDN w:val="0"/>
        <w:adjustRightInd w:val="0"/>
        <w:rPr>
          <w:rFonts w:ascii="Arial" w:hAnsi="Arial" w:cs="Arial"/>
          <w:bCs/>
          <w:iCs/>
          <w:lang w:eastAsia="en-AU"/>
        </w:rPr>
      </w:pPr>
    </w:p>
    <w:p w:rsidR="009C6DC5" w:rsidRDefault="00B9567C" w:rsidP="00E82173">
      <w:pPr>
        <w:autoSpaceDE w:val="0"/>
        <w:autoSpaceDN w:val="0"/>
        <w:adjustRightInd w:val="0"/>
        <w:rPr>
          <w:rFonts w:ascii="Arial" w:hAnsi="Arial" w:cs="Arial"/>
          <w:bCs/>
          <w:iCs/>
          <w:lang w:eastAsia="en-AU"/>
        </w:rPr>
      </w:pPr>
      <w:proofErr w:type="gramStart"/>
      <w:r>
        <w:rPr>
          <w:rFonts w:ascii="Arial" w:hAnsi="Arial" w:cs="Arial"/>
          <w:bCs/>
          <w:iCs/>
          <w:lang w:eastAsia="en-AU"/>
        </w:rPr>
        <w:t>by</w:t>
      </w:r>
      <w:proofErr w:type="gramEnd"/>
      <w:r w:rsidR="009C6DC5">
        <w:rPr>
          <w:rFonts w:ascii="Arial" w:hAnsi="Arial" w:cs="Arial"/>
          <w:bCs/>
          <w:iCs/>
          <w:lang w:eastAsia="en-AU"/>
        </w:rPr>
        <w:t xml:space="preserve"> </w:t>
      </w:r>
      <w:r w:rsidR="0046569E">
        <w:rPr>
          <w:rFonts w:ascii="Arial" w:hAnsi="Arial" w:cs="Arial"/>
          <w:bCs/>
          <w:iCs/>
          <w:lang w:eastAsia="en-AU"/>
        </w:rPr>
        <w:t>Graham Lyons</w:t>
      </w:r>
      <w:r w:rsidR="00086AE9" w:rsidRPr="00086AE9">
        <w:rPr>
          <w:rFonts w:ascii="Arial" w:hAnsi="Arial" w:cs="Arial"/>
          <w:bCs/>
          <w:iCs/>
          <w:vertAlign w:val="superscript"/>
          <w:lang w:eastAsia="en-AU"/>
        </w:rPr>
        <w:t>1</w:t>
      </w:r>
      <w:r w:rsidR="0046569E">
        <w:rPr>
          <w:rFonts w:ascii="Arial" w:hAnsi="Arial" w:cs="Arial"/>
          <w:bCs/>
          <w:iCs/>
          <w:lang w:eastAsia="en-AU"/>
        </w:rPr>
        <w:t xml:space="preserve">, </w:t>
      </w:r>
      <w:r w:rsidR="00E06EB9">
        <w:rPr>
          <w:rFonts w:ascii="Arial" w:hAnsi="Arial" w:cs="Arial"/>
          <w:bCs/>
          <w:iCs/>
          <w:lang w:eastAsia="en-AU"/>
        </w:rPr>
        <w:t>Christopher Gondwe</w:t>
      </w:r>
      <w:r w:rsidR="00086AE9" w:rsidRPr="00086AE9">
        <w:rPr>
          <w:rFonts w:ascii="Arial" w:hAnsi="Arial" w:cs="Arial"/>
          <w:bCs/>
          <w:iCs/>
          <w:vertAlign w:val="superscript"/>
          <w:lang w:eastAsia="en-AU"/>
        </w:rPr>
        <w:t>1</w:t>
      </w:r>
      <w:r w:rsidR="00E06EB9">
        <w:rPr>
          <w:rFonts w:ascii="Arial" w:hAnsi="Arial" w:cs="Arial"/>
          <w:bCs/>
          <w:iCs/>
          <w:lang w:eastAsia="en-AU"/>
        </w:rPr>
        <w:t xml:space="preserve">, </w:t>
      </w:r>
      <w:r w:rsidR="0046569E">
        <w:rPr>
          <w:rFonts w:ascii="Arial" w:hAnsi="Arial" w:cs="Arial"/>
          <w:bCs/>
          <w:iCs/>
          <w:lang w:eastAsia="en-AU"/>
        </w:rPr>
        <w:t>Gary Banuelos</w:t>
      </w:r>
      <w:r w:rsidR="00086AE9" w:rsidRPr="00086AE9">
        <w:rPr>
          <w:rFonts w:ascii="Arial" w:hAnsi="Arial" w:cs="Arial"/>
          <w:bCs/>
          <w:iCs/>
          <w:vertAlign w:val="superscript"/>
          <w:lang w:eastAsia="en-AU"/>
        </w:rPr>
        <w:t>2</w:t>
      </w:r>
      <w:r w:rsidR="0046569E">
        <w:rPr>
          <w:rFonts w:ascii="Arial" w:hAnsi="Arial" w:cs="Arial"/>
          <w:bCs/>
          <w:iCs/>
          <w:lang w:eastAsia="en-AU"/>
        </w:rPr>
        <w:t xml:space="preserve">, </w:t>
      </w:r>
      <w:r w:rsidR="00B126AA">
        <w:rPr>
          <w:rFonts w:ascii="Arial" w:hAnsi="Arial" w:cs="Arial"/>
          <w:bCs/>
          <w:iCs/>
          <w:lang w:eastAsia="en-AU"/>
        </w:rPr>
        <w:t>Maria Clemencia Zambrano Mendoza</w:t>
      </w:r>
      <w:r w:rsidR="00086AE9" w:rsidRPr="00086AE9">
        <w:rPr>
          <w:rFonts w:ascii="Arial" w:hAnsi="Arial" w:cs="Arial"/>
          <w:bCs/>
          <w:iCs/>
          <w:vertAlign w:val="superscript"/>
          <w:lang w:eastAsia="en-AU"/>
        </w:rPr>
        <w:t>2</w:t>
      </w:r>
      <w:r w:rsidR="00B126AA">
        <w:rPr>
          <w:rFonts w:ascii="Arial" w:hAnsi="Arial" w:cs="Arial"/>
          <w:bCs/>
          <w:iCs/>
          <w:lang w:eastAsia="en-AU"/>
        </w:rPr>
        <w:t>, Anna Haug</w:t>
      </w:r>
      <w:r w:rsidR="00086AE9" w:rsidRPr="00086AE9">
        <w:rPr>
          <w:rFonts w:ascii="Arial" w:hAnsi="Arial" w:cs="Arial"/>
          <w:bCs/>
          <w:iCs/>
          <w:vertAlign w:val="superscript"/>
          <w:lang w:eastAsia="en-AU"/>
        </w:rPr>
        <w:t>3</w:t>
      </w:r>
      <w:r w:rsidR="00B126AA">
        <w:rPr>
          <w:rFonts w:ascii="Arial" w:hAnsi="Arial" w:cs="Arial"/>
          <w:bCs/>
          <w:iCs/>
          <w:lang w:eastAsia="en-AU"/>
        </w:rPr>
        <w:t xml:space="preserve"> and </w:t>
      </w:r>
      <w:r w:rsidR="009C6DC5">
        <w:rPr>
          <w:rFonts w:ascii="Arial" w:hAnsi="Arial" w:cs="Arial"/>
          <w:bCs/>
          <w:iCs/>
          <w:lang w:eastAsia="en-AU"/>
        </w:rPr>
        <w:t>Olav Albert Christophersen</w:t>
      </w:r>
      <w:r w:rsidR="00086AE9" w:rsidRPr="00086AE9">
        <w:rPr>
          <w:rFonts w:ascii="Arial" w:hAnsi="Arial" w:cs="Arial"/>
          <w:bCs/>
          <w:iCs/>
          <w:vertAlign w:val="superscript"/>
          <w:lang w:eastAsia="en-AU"/>
        </w:rPr>
        <w:t>3</w:t>
      </w:r>
    </w:p>
    <w:p w:rsidR="00086AE9" w:rsidRDefault="00086AE9" w:rsidP="00E82173">
      <w:pPr>
        <w:autoSpaceDE w:val="0"/>
        <w:autoSpaceDN w:val="0"/>
        <w:adjustRightInd w:val="0"/>
        <w:rPr>
          <w:rFonts w:ascii="Arial" w:hAnsi="Arial" w:cs="Arial"/>
          <w:bCs/>
          <w:iCs/>
          <w:lang w:eastAsia="en-AU"/>
        </w:rPr>
      </w:pPr>
    </w:p>
    <w:p w:rsidR="00086AE9" w:rsidRDefault="00086AE9" w:rsidP="00086AE9">
      <w:pPr>
        <w:rPr>
          <w:i/>
        </w:rPr>
      </w:pPr>
      <w:r w:rsidRPr="004F0795">
        <w:rPr>
          <w:vertAlign w:val="superscript"/>
        </w:rPr>
        <w:t>1</w:t>
      </w:r>
      <w:r>
        <w:rPr>
          <w:i/>
        </w:rPr>
        <w:t xml:space="preserve"> </w:t>
      </w:r>
      <w:r w:rsidRPr="00956AA8">
        <w:rPr>
          <w:i/>
        </w:rPr>
        <w:t>School of Agriculture</w:t>
      </w:r>
      <w:r>
        <w:rPr>
          <w:i/>
        </w:rPr>
        <w:t>, Food</w:t>
      </w:r>
      <w:r w:rsidRPr="00956AA8">
        <w:rPr>
          <w:i/>
        </w:rPr>
        <w:t xml:space="preserve"> &amp; Wine, University of Adelaide, Waite Campus, Glen Osmond, SA 5064, Australia</w:t>
      </w:r>
    </w:p>
    <w:p w:rsidR="00086AE9" w:rsidRDefault="00086AE9" w:rsidP="00086AE9">
      <w:pPr>
        <w:rPr>
          <w:i/>
        </w:rPr>
      </w:pPr>
    </w:p>
    <w:p w:rsidR="00086AE9" w:rsidRDefault="00086AE9" w:rsidP="00086AE9">
      <w:pPr>
        <w:pStyle w:val="Affiliation"/>
      </w:pPr>
      <w:r w:rsidRPr="004F0795">
        <w:rPr>
          <w:i w:val="0"/>
          <w:vertAlign w:val="superscript"/>
        </w:rPr>
        <w:t>2</w:t>
      </w:r>
      <w:r>
        <w:t xml:space="preserve"> USDA-ARS, Water Management Unit, Parlier, CA USA</w:t>
      </w:r>
      <w:bookmarkStart w:id="0" w:name="_GoBack"/>
      <w:bookmarkEnd w:id="0"/>
    </w:p>
    <w:p w:rsidR="00086AE9" w:rsidRPr="0067228E" w:rsidRDefault="00086AE9" w:rsidP="00086AE9">
      <w:pPr>
        <w:pStyle w:val="Affiliation"/>
      </w:pPr>
      <w:r w:rsidRPr="004F0795">
        <w:rPr>
          <w:i w:val="0"/>
          <w:vertAlign w:val="superscript"/>
        </w:rPr>
        <w:t>3</w:t>
      </w:r>
      <w:r>
        <w:t xml:space="preserve"> Department of Animal and </w:t>
      </w:r>
      <w:proofErr w:type="spellStart"/>
      <w:r>
        <w:t>Aquacultural</w:t>
      </w:r>
      <w:proofErr w:type="spellEnd"/>
      <w:r>
        <w:t xml:space="preserve"> Sciences, The Norwegian University of Life Sciences, 1432 </w:t>
      </w:r>
      <w:proofErr w:type="spellStart"/>
      <w:r>
        <w:t>Aas</w:t>
      </w:r>
      <w:proofErr w:type="spellEnd"/>
      <w:r>
        <w:t>, Norway</w:t>
      </w:r>
    </w:p>
    <w:p w:rsidR="00086AE9" w:rsidRPr="009C6DC5" w:rsidRDefault="00086AE9" w:rsidP="00E82173">
      <w:pPr>
        <w:autoSpaceDE w:val="0"/>
        <w:autoSpaceDN w:val="0"/>
        <w:adjustRightInd w:val="0"/>
        <w:rPr>
          <w:rFonts w:ascii="Arial" w:hAnsi="Arial" w:cs="Arial"/>
          <w:bCs/>
          <w:iCs/>
          <w:lang w:eastAsia="en-AU"/>
        </w:rPr>
      </w:pPr>
    </w:p>
    <w:p w:rsidR="0026125E" w:rsidRDefault="0026125E" w:rsidP="00E82173">
      <w:pPr>
        <w:autoSpaceDE w:val="0"/>
        <w:autoSpaceDN w:val="0"/>
        <w:adjustRightInd w:val="0"/>
        <w:rPr>
          <w:rFonts w:ascii="Arial" w:hAnsi="Arial" w:cs="Arial"/>
          <w:bCs/>
          <w:iCs/>
          <w:lang w:eastAsia="en-AU"/>
        </w:rPr>
      </w:pPr>
    </w:p>
    <w:p w:rsidR="0026125E" w:rsidRPr="00E06EB9" w:rsidRDefault="0026125E" w:rsidP="00E82173">
      <w:pPr>
        <w:autoSpaceDE w:val="0"/>
        <w:autoSpaceDN w:val="0"/>
        <w:adjustRightInd w:val="0"/>
        <w:rPr>
          <w:rFonts w:ascii="Arial" w:hAnsi="Arial" w:cs="Arial"/>
          <w:bCs/>
          <w:iCs/>
          <w:lang w:eastAsia="en-AU"/>
        </w:rPr>
      </w:pPr>
      <w:r w:rsidRPr="00E06EB9">
        <w:rPr>
          <w:rFonts w:ascii="Arial" w:hAnsi="Arial" w:cs="Arial"/>
          <w:b/>
          <w:bCs/>
          <w:iCs/>
          <w:lang w:eastAsia="en-AU"/>
        </w:rPr>
        <w:t>The relevance of Goldschmidt’s concepts for agriculture, nutrition and medicine</w:t>
      </w:r>
    </w:p>
    <w:p w:rsidR="00001819" w:rsidRPr="00001819" w:rsidRDefault="00001819" w:rsidP="00E82173">
      <w:pPr>
        <w:autoSpaceDE w:val="0"/>
        <w:autoSpaceDN w:val="0"/>
        <w:adjustRightInd w:val="0"/>
        <w:rPr>
          <w:rFonts w:ascii="Arial" w:hAnsi="Arial" w:cs="Arial"/>
          <w:bCs/>
          <w:iCs/>
          <w:lang w:eastAsia="en-AU"/>
        </w:rPr>
      </w:pPr>
    </w:p>
    <w:p w:rsidR="00E82173" w:rsidRDefault="0026125E" w:rsidP="00E82173">
      <w:pPr>
        <w:autoSpaceDE w:val="0"/>
        <w:autoSpaceDN w:val="0"/>
        <w:adjustRightInd w:val="0"/>
        <w:rPr>
          <w:rFonts w:ascii="Arial" w:hAnsi="Arial" w:cs="Arial"/>
          <w:bCs/>
          <w:iCs/>
          <w:lang w:eastAsia="en-AU"/>
        </w:rPr>
      </w:pPr>
      <w:r>
        <w:rPr>
          <w:rFonts w:ascii="Arial" w:hAnsi="Arial" w:cs="Arial"/>
          <w:bCs/>
          <w:iCs/>
          <w:lang w:eastAsia="en-AU"/>
        </w:rPr>
        <w:t>Victor Moritz Goldschmidt (1888-1947), the father of modern geochemistry, introduced</w:t>
      </w:r>
      <w:r w:rsidR="00E82173">
        <w:rPr>
          <w:rFonts w:ascii="Arial" w:hAnsi="Arial" w:cs="Arial"/>
          <w:bCs/>
          <w:iCs/>
          <w:lang w:eastAsia="en-AU"/>
        </w:rPr>
        <w:t xml:space="preserve"> the term </w:t>
      </w:r>
      <w:proofErr w:type="spellStart"/>
      <w:r w:rsidR="00E82173" w:rsidRPr="00E82173">
        <w:rPr>
          <w:rFonts w:ascii="Arial" w:hAnsi="Arial" w:cs="Arial"/>
          <w:bCs/>
          <w:i/>
          <w:iCs/>
          <w:lang w:eastAsia="en-AU"/>
        </w:rPr>
        <w:t>biophile</w:t>
      </w:r>
      <w:proofErr w:type="spellEnd"/>
      <w:r w:rsidR="00E82173">
        <w:rPr>
          <w:rFonts w:ascii="Arial" w:hAnsi="Arial" w:cs="Arial"/>
          <w:bCs/>
          <w:i/>
          <w:iCs/>
          <w:lang w:eastAsia="en-AU"/>
        </w:rPr>
        <w:t xml:space="preserve"> </w:t>
      </w:r>
      <w:r w:rsidR="00E82173">
        <w:rPr>
          <w:rFonts w:ascii="Arial" w:hAnsi="Arial" w:cs="Arial"/>
          <w:bCs/>
          <w:iCs/>
          <w:lang w:eastAsia="en-AU"/>
        </w:rPr>
        <w:t xml:space="preserve">for elements found at high absolute or relative concentrations in living organisms. </w:t>
      </w:r>
      <w:r w:rsidR="00C22FDA">
        <w:rPr>
          <w:rFonts w:ascii="Arial" w:hAnsi="Arial" w:cs="Arial"/>
          <w:bCs/>
          <w:iCs/>
          <w:lang w:eastAsia="en-AU"/>
        </w:rPr>
        <w:t xml:space="preserve">They include nitrogen, sulphur, </w:t>
      </w:r>
      <w:r w:rsidR="00E82173">
        <w:rPr>
          <w:rFonts w:ascii="Arial" w:hAnsi="Arial" w:cs="Arial"/>
          <w:bCs/>
          <w:iCs/>
          <w:lang w:eastAsia="en-AU"/>
        </w:rPr>
        <w:t>phosphorus, potassium, selenium, iodine, zinc, boron and bromine.</w:t>
      </w:r>
    </w:p>
    <w:p w:rsidR="00001819" w:rsidRDefault="00001819" w:rsidP="00E82173">
      <w:pPr>
        <w:autoSpaceDE w:val="0"/>
        <w:autoSpaceDN w:val="0"/>
        <w:adjustRightInd w:val="0"/>
        <w:rPr>
          <w:rFonts w:ascii="Arial" w:hAnsi="Arial" w:cs="Arial"/>
          <w:bCs/>
          <w:iCs/>
          <w:lang w:eastAsia="en-AU"/>
        </w:rPr>
      </w:pPr>
    </w:p>
    <w:p w:rsidR="00001819" w:rsidRDefault="00001819" w:rsidP="00001819">
      <w:pPr>
        <w:autoSpaceDE w:val="0"/>
        <w:autoSpaceDN w:val="0"/>
        <w:adjustRightInd w:val="0"/>
        <w:rPr>
          <w:rFonts w:ascii="ArialNarrow" w:hAnsi="ArialNarrow" w:cs="ArialNarrow"/>
          <w:sz w:val="26"/>
          <w:szCs w:val="26"/>
          <w:lang w:eastAsia="en-AU"/>
        </w:rPr>
      </w:pPr>
      <w:r>
        <w:rPr>
          <w:rFonts w:ascii="ArialNarrow" w:hAnsi="ArialNarrow" w:cs="ArialNarrow"/>
          <w:sz w:val="26"/>
          <w:szCs w:val="26"/>
          <w:lang w:eastAsia="en-AU"/>
        </w:rPr>
        <w:t>G</w:t>
      </w:r>
      <w:r w:rsidR="00C22FDA">
        <w:rPr>
          <w:rFonts w:ascii="ArialNarrow" w:hAnsi="ArialNarrow" w:cs="ArialNarrow"/>
          <w:sz w:val="26"/>
          <w:szCs w:val="26"/>
          <w:lang w:eastAsia="en-AU"/>
        </w:rPr>
        <w:t>oldschmidt was also interested in</w:t>
      </w:r>
      <w:r>
        <w:rPr>
          <w:rFonts w:ascii="ArialNarrow" w:hAnsi="ArialNarrow" w:cs="ArialNarrow"/>
          <w:sz w:val="26"/>
          <w:szCs w:val="26"/>
          <w:lang w:eastAsia="en-AU"/>
        </w:rPr>
        <w:t xml:space="preserve"> how different e</w:t>
      </w:r>
      <w:r w:rsidR="00C22FDA">
        <w:rPr>
          <w:rFonts w:ascii="ArialNarrow" w:hAnsi="ArialNarrow" w:cs="ArialNarrow"/>
          <w:sz w:val="26"/>
          <w:szCs w:val="26"/>
          <w:lang w:eastAsia="en-AU"/>
        </w:rPr>
        <w:t xml:space="preserve">lements are </w:t>
      </w:r>
      <w:r>
        <w:rPr>
          <w:rFonts w:ascii="ArialNarrow" w:hAnsi="ArialNarrow" w:cs="ArialNarrow"/>
          <w:sz w:val="26"/>
          <w:szCs w:val="26"/>
          <w:lang w:eastAsia="en-AU"/>
        </w:rPr>
        <w:t>transported and become fractionated</w:t>
      </w:r>
      <w:r w:rsidR="00C22FDA">
        <w:rPr>
          <w:rFonts w:ascii="ArialNarrow" w:hAnsi="ArialNarrow" w:cs="ArialNarrow"/>
          <w:sz w:val="26"/>
          <w:szCs w:val="26"/>
          <w:lang w:eastAsia="en-AU"/>
        </w:rPr>
        <w:t xml:space="preserve"> </w:t>
      </w:r>
      <w:r>
        <w:rPr>
          <w:rFonts w:ascii="ArialNarrow" w:hAnsi="ArialNarrow" w:cs="ArialNarrow"/>
          <w:sz w:val="26"/>
          <w:szCs w:val="26"/>
          <w:lang w:eastAsia="en-AU"/>
        </w:rPr>
        <w:t>relative to each other because of geological processes (</w:t>
      </w:r>
      <w:r>
        <w:rPr>
          <w:rFonts w:ascii="ArialNarrow-Italic" w:hAnsi="ArialNarrow-Italic" w:cs="ArialNarrow-Italic"/>
          <w:i/>
          <w:iCs/>
          <w:sz w:val="26"/>
          <w:szCs w:val="26"/>
          <w:lang w:eastAsia="en-AU"/>
        </w:rPr>
        <w:t xml:space="preserve">e.g. </w:t>
      </w:r>
      <w:r>
        <w:rPr>
          <w:rFonts w:ascii="ArialNarrow" w:hAnsi="ArialNarrow" w:cs="ArialNarrow"/>
          <w:sz w:val="26"/>
          <w:szCs w:val="26"/>
          <w:lang w:eastAsia="en-AU"/>
        </w:rPr>
        <w:t>volcanism, weathering and erosion), both inside the</w:t>
      </w:r>
      <w:r w:rsidR="00C22FDA">
        <w:rPr>
          <w:rFonts w:ascii="ArialNarrow" w:hAnsi="ArialNarrow" w:cs="ArialNarrow"/>
          <w:sz w:val="26"/>
          <w:szCs w:val="26"/>
          <w:lang w:eastAsia="en-AU"/>
        </w:rPr>
        <w:t xml:space="preserve"> e</w:t>
      </w:r>
      <w:r>
        <w:rPr>
          <w:rFonts w:ascii="ArialNarrow" w:hAnsi="ArialNarrow" w:cs="ArialNarrow"/>
          <w:sz w:val="26"/>
          <w:szCs w:val="26"/>
          <w:lang w:eastAsia="en-AU"/>
        </w:rPr>
        <w:t xml:space="preserve">arth and at its surface. For this he used the term </w:t>
      </w:r>
      <w:r w:rsidRPr="00C22FDA">
        <w:rPr>
          <w:rFonts w:ascii="ArialNarrow" w:hAnsi="ArialNarrow" w:cs="ArialNarrow"/>
          <w:i/>
          <w:sz w:val="26"/>
          <w:szCs w:val="26"/>
          <w:lang w:eastAsia="en-AU"/>
        </w:rPr>
        <w:t>geochemical cycles</w:t>
      </w:r>
      <w:r>
        <w:rPr>
          <w:rFonts w:ascii="ArialNarrow" w:hAnsi="ArialNarrow" w:cs="ArialNarrow"/>
          <w:sz w:val="26"/>
          <w:szCs w:val="26"/>
          <w:lang w:eastAsia="en-AU"/>
        </w:rPr>
        <w:t>, to describe how the transport processes</w:t>
      </w:r>
      <w:r w:rsidR="00C22FDA">
        <w:rPr>
          <w:rFonts w:ascii="ArialNarrow" w:hAnsi="ArialNarrow" w:cs="ArialNarrow"/>
          <w:sz w:val="26"/>
          <w:szCs w:val="26"/>
          <w:lang w:eastAsia="en-AU"/>
        </w:rPr>
        <w:t xml:space="preserve"> are</w:t>
      </w:r>
    </w:p>
    <w:p w:rsidR="00001819" w:rsidRDefault="00C22FDA" w:rsidP="00001819">
      <w:pPr>
        <w:autoSpaceDE w:val="0"/>
        <w:autoSpaceDN w:val="0"/>
        <w:adjustRightInd w:val="0"/>
        <w:rPr>
          <w:rFonts w:ascii="ArialNarrow" w:hAnsi="ArialNarrow" w:cs="ArialNarrow"/>
          <w:sz w:val="26"/>
          <w:szCs w:val="26"/>
          <w:lang w:eastAsia="en-AU"/>
        </w:rPr>
      </w:pPr>
      <w:proofErr w:type="gramStart"/>
      <w:r>
        <w:rPr>
          <w:rFonts w:ascii="ArialNarrow" w:hAnsi="ArialNarrow" w:cs="ArialNarrow"/>
          <w:sz w:val="26"/>
          <w:szCs w:val="26"/>
          <w:lang w:eastAsia="en-AU"/>
        </w:rPr>
        <w:t>often</w:t>
      </w:r>
      <w:proofErr w:type="gramEnd"/>
      <w:r w:rsidR="00001819">
        <w:rPr>
          <w:rFonts w:ascii="ArialNarrow" w:hAnsi="ArialNarrow" w:cs="ArialNarrow"/>
          <w:sz w:val="26"/>
          <w:szCs w:val="26"/>
          <w:lang w:eastAsia="en-AU"/>
        </w:rPr>
        <w:t xml:space="preserve"> cyclic, formi</w:t>
      </w:r>
      <w:r>
        <w:rPr>
          <w:rFonts w:ascii="ArialNarrow" w:hAnsi="ArialNarrow" w:cs="ArialNarrow"/>
          <w:sz w:val="26"/>
          <w:szCs w:val="26"/>
          <w:lang w:eastAsia="en-AU"/>
        </w:rPr>
        <w:t>ng closed loops. Combining his</w:t>
      </w:r>
      <w:r w:rsidR="00001819">
        <w:rPr>
          <w:rFonts w:ascii="ArialNarrow" w:hAnsi="ArialNarrow" w:cs="ArialNarrow"/>
          <w:sz w:val="26"/>
          <w:szCs w:val="26"/>
          <w:lang w:eastAsia="en-AU"/>
        </w:rPr>
        <w:t xml:space="preserve"> concept of geochemical cycles with</w:t>
      </w:r>
      <w:r>
        <w:rPr>
          <w:rFonts w:ascii="ArialNarrow" w:hAnsi="ArialNarrow" w:cs="ArialNarrow"/>
          <w:sz w:val="26"/>
          <w:szCs w:val="26"/>
          <w:lang w:eastAsia="en-AU"/>
        </w:rPr>
        <w:t xml:space="preserve"> </w:t>
      </w:r>
      <w:proofErr w:type="spellStart"/>
      <w:r>
        <w:rPr>
          <w:rFonts w:ascii="ArialNarrow" w:hAnsi="ArialNarrow" w:cs="ArialNarrow"/>
          <w:sz w:val="26"/>
          <w:szCs w:val="26"/>
          <w:lang w:eastAsia="en-AU"/>
        </w:rPr>
        <w:t>biophile</w:t>
      </w:r>
      <w:proofErr w:type="spellEnd"/>
      <w:r>
        <w:rPr>
          <w:rFonts w:ascii="ArialNarrow" w:hAnsi="ArialNarrow" w:cs="ArialNarrow"/>
          <w:sz w:val="26"/>
          <w:szCs w:val="26"/>
          <w:lang w:eastAsia="en-AU"/>
        </w:rPr>
        <w:t xml:space="preserve"> elements is</w:t>
      </w:r>
      <w:r w:rsidR="00001819">
        <w:rPr>
          <w:rFonts w:ascii="ArialNarrow" w:hAnsi="ArialNarrow" w:cs="ArialNarrow"/>
          <w:sz w:val="26"/>
          <w:szCs w:val="26"/>
          <w:lang w:eastAsia="en-AU"/>
        </w:rPr>
        <w:t xml:space="preserve"> useful for understanding problems of mineral </w:t>
      </w:r>
      <w:r>
        <w:rPr>
          <w:rFonts w:ascii="ArialNarrow" w:hAnsi="ArialNarrow" w:cs="ArialNarrow"/>
          <w:sz w:val="26"/>
          <w:szCs w:val="26"/>
          <w:lang w:eastAsia="en-AU"/>
        </w:rPr>
        <w:t>nutrient depletion in soils due to</w:t>
      </w:r>
      <w:r w:rsidR="00001819">
        <w:rPr>
          <w:rFonts w:ascii="ArialNarrow" w:hAnsi="ArialNarrow" w:cs="ArialNarrow"/>
          <w:sz w:val="26"/>
          <w:szCs w:val="26"/>
          <w:lang w:eastAsia="en-AU"/>
        </w:rPr>
        <w:t xml:space="preserve"> envi</w:t>
      </w:r>
      <w:r>
        <w:rPr>
          <w:rFonts w:ascii="ArialNarrow" w:hAnsi="ArialNarrow" w:cs="ArialNarrow"/>
          <w:sz w:val="26"/>
          <w:szCs w:val="26"/>
          <w:lang w:eastAsia="en-AU"/>
        </w:rPr>
        <w:t>ronmental degradation processes</w:t>
      </w:r>
      <w:r w:rsidR="00001819">
        <w:rPr>
          <w:rFonts w:ascii="ArialNarrow" w:hAnsi="ArialNarrow" w:cs="ArialNarrow"/>
          <w:sz w:val="26"/>
          <w:szCs w:val="26"/>
          <w:lang w:eastAsia="en-AU"/>
        </w:rPr>
        <w:t xml:space="preserve"> such as defor</w:t>
      </w:r>
      <w:r>
        <w:rPr>
          <w:rFonts w:ascii="ArialNarrow" w:hAnsi="ArialNarrow" w:cs="ArialNarrow"/>
          <w:sz w:val="26"/>
          <w:szCs w:val="26"/>
          <w:lang w:eastAsia="en-AU"/>
        </w:rPr>
        <w:t>estation and erosion.</w:t>
      </w:r>
      <w:r w:rsidR="00001819">
        <w:rPr>
          <w:rFonts w:ascii="ArialNarrow" w:hAnsi="ArialNarrow" w:cs="ArialNarrow"/>
          <w:sz w:val="26"/>
          <w:szCs w:val="26"/>
          <w:lang w:eastAsia="en-AU"/>
        </w:rPr>
        <w:t xml:space="preserve"> </w:t>
      </w:r>
    </w:p>
    <w:p w:rsidR="00001819" w:rsidRDefault="00001819" w:rsidP="00001819">
      <w:pPr>
        <w:autoSpaceDE w:val="0"/>
        <w:autoSpaceDN w:val="0"/>
        <w:adjustRightInd w:val="0"/>
        <w:rPr>
          <w:rFonts w:ascii="ArialNarrow" w:hAnsi="ArialNarrow" w:cs="ArialNarrow"/>
          <w:sz w:val="26"/>
          <w:szCs w:val="26"/>
          <w:lang w:eastAsia="en-AU"/>
        </w:rPr>
      </w:pPr>
    </w:p>
    <w:p w:rsidR="00001819" w:rsidRPr="00B126AA" w:rsidRDefault="00086AE9" w:rsidP="00001819">
      <w:pPr>
        <w:autoSpaceDE w:val="0"/>
        <w:autoSpaceDN w:val="0"/>
        <w:adjustRightInd w:val="0"/>
        <w:rPr>
          <w:rFonts w:ascii="ArialNarrow" w:hAnsi="ArialNarrow" w:cs="ArialNarrow"/>
          <w:sz w:val="26"/>
          <w:szCs w:val="26"/>
          <w:lang w:eastAsia="en-AU"/>
        </w:rPr>
      </w:pPr>
      <w:r>
        <w:rPr>
          <w:rFonts w:ascii="ArialNarrow" w:hAnsi="ArialNarrow" w:cs="ArialNarrow"/>
          <w:sz w:val="26"/>
          <w:szCs w:val="26"/>
          <w:lang w:eastAsia="en-AU"/>
        </w:rPr>
        <w:t>The deep roots of</w:t>
      </w:r>
      <w:r w:rsidR="00001819">
        <w:rPr>
          <w:rFonts w:ascii="ArialNarrow" w:hAnsi="ArialNarrow" w:cs="ArialNarrow"/>
          <w:sz w:val="26"/>
          <w:szCs w:val="26"/>
          <w:lang w:eastAsia="en-AU"/>
        </w:rPr>
        <w:t xml:space="preserve"> trees that grow on highly weath</w:t>
      </w:r>
      <w:r>
        <w:rPr>
          <w:rFonts w:ascii="ArialNarrow" w:hAnsi="ArialNarrow" w:cs="ArialNarrow"/>
          <w:sz w:val="26"/>
          <w:szCs w:val="26"/>
          <w:lang w:eastAsia="en-AU"/>
        </w:rPr>
        <w:t xml:space="preserve">ered soil can scavenge </w:t>
      </w:r>
      <w:r w:rsidR="00001819">
        <w:rPr>
          <w:rFonts w:ascii="ArialNarrow" w:hAnsi="ArialNarrow" w:cs="ArialNarrow"/>
          <w:sz w:val="26"/>
          <w:szCs w:val="26"/>
          <w:lang w:eastAsia="en-AU"/>
        </w:rPr>
        <w:t xml:space="preserve">nutrient elements </w:t>
      </w:r>
      <w:r>
        <w:rPr>
          <w:rFonts w:ascii="ArialNarrow" w:hAnsi="ArialNarrow" w:cs="ArialNarrow"/>
          <w:sz w:val="26"/>
          <w:szCs w:val="26"/>
          <w:lang w:eastAsia="en-AU"/>
        </w:rPr>
        <w:t>from deep soil layers where</w:t>
      </w:r>
      <w:r w:rsidR="00001819">
        <w:rPr>
          <w:rFonts w:ascii="ArialNarrow" w:hAnsi="ArialNarrow" w:cs="ArialNarrow"/>
          <w:sz w:val="26"/>
          <w:szCs w:val="26"/>
          <w:lang w:eastAsia="en-AU"/>
        </w:rPr>
        <w:t xml:space="preserve"> chemical weathering is not</w:t>
      </w:r>
      <w:r w:rsidR="00C22FDA">
        <w:rPr>
          <w:rFonts w:ascii="ArialNarrow" w:hAnsi="ArialNarrow" w:cs="ArialNarrow"/>
          <w:sz w:val="26"/>
          <w:szCs w:val="26"/>
          <w:lang w:eastAsia="en-AU"/>
        </w:rPr>
        <w:t xml:space="preserve"> </w:t>
      </w:r>
      <w:r>
        <w:rPr>
          <w:rFonts w:ascii="ArialNarrow" w:hAnsi="ArialNarrow" w:cs="ArialNarrow"/>
          <w:sz w:val="26"/>
          <w:szCs w:val="26"/>
          <w:lang w:eastAsia="en-AU"/>
        </w:rPr>
        <w:t xml:space="preserve">complete. Consequently, </w:t>
      </w:r>
      <w:proofErr w:type="spellStart"/>
      <w:r>
        <w:rPr>
          <w:rFonts w:ascii="ArialNarrow" w:hAnsi="ArialNarrow" w:cs="ArialNarrow"/>
          <w:sz w:val="26"/>
          <w:szCs w:val="26"/>
          <w:lang w:eastAsia="en-AU"/>
        </w:rPr>
        <w:t>b</w:t>
      </w:r>
      <w:r w:rsidR="00001819">
        <w:rPr>
          <w:rFonts w:ascii="ArialNarrow" w:hAnsi="ArialNarrow" w:cs="ArialNarrow"/>
          <w:sz w:val="26"/>
          <w:szCs w:val="26"/>
          <w:lang w:eastAsia="en-AU"/>
        </w:rPr>
        <w:t>iophile</w:t>
      </w:r>
      <w:proofErr w:type="spellEnd"/>
      <w:r w:rsidR="00001819">
        <w:rPr>
          <w:rFonts w:ascii="ArialNarrow" w:hAnsi="ArialNarrow" w:cs="ArialNarrow"/>
          <w:sz w:val="26"/>
          <w:szCs w:val="26"/>
          <w:lang w:eastAsia="en-AU"/>
        </w:rPr>
        <w:t xml:space="preserve"> elements that have been deposited from rainwater (</w:t>
      </w:r>
      <w:r w:rsidR="00001819">
        <w:rPr>
          <w:rFonts w:ascii="ArialNarrow-Italic" w:hAnsi="ArialNarrow-Italic" w:cs="ArialNarrow-Italic"/>
          <w:i/>
          <w:iCs/>
          <w:sz w:val="26"/>
          <w:szCs w:val="26"/>
          <w:lang w:eastAsia="en-AU"/>
        </w:rPr>
        <w:t xml:space="preserve">e.g. </w:t>
      </w:r>
      <w:r w:rsidR="00C22FDA">
        <w:rPr>
          <w:rFonts w:ascii="ArialNarrow" w:hAnsi="ArialNarrow" w:cs="ArialNarrow"/>
          <w:sz w:val="26"/>
          <w:szCs w:val="26"/>
          <w:lang w:eastAsia="en-AU"/>
        </w:rPr>
        <w:t xml:space="preserve">sulphur, </w:t>
      </w:r>
      <w:r w:rsidR="00001819">
        <w:rPr>
          <w:rFonts w:ascii="ArialNarrow" w:hAnsi="ArialNarrow" w:cs="ArialNarrow"/>
          <w:sz w:val="26"/>
          <w:szCs w:val="26"/>
          <w:lang w:eastAsia="en-AU"/>
        </w:rPr>
        <w:t>selenium</w:t>
      </w:r>
      <w:r w:rsidR="00C22FDA">
        <w:rPr>
          <w:rFonts w:ascii="ArialNarrow" w:hAnsi="ArialNarrow" w:cs="ArialNarrow"/>
          <w:sz w:val="26"/>
          <w:szCs w:val="26"/>
          <w:lang w:eastAsia="en-AU"/>
        </w:rPr>
        <w:t>, iodine and bromine</w:t>
      </w:r>
      <w:r w:rsidR="00001819">
        <w:rPr>
          <w:rFonts w:ascii="ArialNarrow" w:hAnsi="ArialNarrow" w:cs="ArialNarrow"/>
          <w:sz w:val="26"/>
          <w:szCs w:val="26"/>
          <w:lang w:eastAsia="en-AU"/>
        </w:rPr>
        <w:t>)</w:t>
      </w:r>
      <w:r w:rsidR="00C22FDA">
        <w:rPr>
          <w:rFonts w:ascii="ArialNarrow" w:hAnsi="ArialNarrow" w:cs="ArialNarrow"/>
          <w:sz w:val="26"/>
          <w:szCs w:val="26"/>
          <w:lang w:eastAsia="en-AU"/>
        </w:rPr>
        <w:t xml:space="preserve"> </w:t>
      </w:r>
      <w:r w:rsidR="00001819">
        <w:rPr>
          <w:rFonts w:ascii="ArialNarrow" w:hAnsi="ArialNarrow" w:cs="ArialNarrow"/>
          <w:sz w:val="26"/>
          <w:szCs w:val="26"/>
          <w:lang w:eastAsia="en-AU"/>
        </w:rPr>
        <w:t>are recycled and prevented from being removed by leaching processes because of their active uptake into plant</w:t>
      </w:r>
      <w:r w:rsidR="00C22FDA">
        <w:rPr>
          <w:rFonts w:ascii="ArialNarrow" w:hAnsi="ArialNarrow" w:cs="ArialNarrow"/>
          <w:sz w:val="26"/>
          <w:szCs w:val="26"/>
          <w:lang w:eastAsia="en-AU"/>
        </w:rPr>
        <w:t xml:space="preserve"> </w:t>
      </w:r>
      <w:r w:rsidR="00001819">
        <w:rPr>
          <w:rFonts w:ascii="ArialNarrow" w:hAnsi="ArialNarrow" w:cs="ArialNarrow"/>
          <w:sz w:val="26"/>
          <w:szCs w:val="26"/>
          <w:lang w:eastAsia="en-AU"/>
        </w:rPr>
        <w:t xml:space="preserve">roots and </w:t>
      </w:r>
      <w:proofErr w:type="spellStart"/>
      <w:r w:rsidR="00001819">
        <w:rPr>
          <w:rFonts w:ascii="ArialNarrow" w:hAnsi="ArialNarrow" w:cs="ArialNarrow"/>
          <w:sz w:val="26"/>
          <w:szCs w:val="26"/>
          <w:lang w:eastAsia="en-AU"/>
        </w:rPr>
        <w:t>mycorrhiza</w:t>
      </w:r>
      <w:proofErr w:type="spellEnd"/>
      <w:r w:rsidR="00001819">
        <w:rPr>
          <w:rFonts w:ascii="ArialNarrow" w:hAnsi="ArialNarrow" w:cs="ArialNarrow"/>
          <w:sz w:val="26"/>
          <w:szCs w:val="26"/>
          <w:lang w:eastAsia="en-AU"/>
        </w:rPr>
        <w:t>. But when the forest is cut down or burnt, the vertical transport of nutrient elements upwards</w:t>
      </w:r>
      <w:r w:rsidR="007B455A">
        <w:rPr>
          <w:rFonts w:ascii="ArialNarrow" w:hAnsi="ArialNarrow" w:cs="ArialNarrow"/>
          <w:sz w:val="26"/>
          <w:szCs w:val="26"/>
          <w:lang w:eastAsia="en-AU"/>
        </w:rPr>
        <w:t xml:space="preserve"> </w:t>
      </w:r>
      <w:r w:rsidR="00C22FDA">
        <w:rPr>
          <w:rFonts w:ascii="ArialNarrow" w:hAnsi="ArialNarrow" w:cs="ArialNarrow"/>
          <w:sz w:val="26"/>
          <w:szCs w:val="26"/>
          <w:lang w:eastAsia="en-AU"/>
        </w:rPr>
        <w:t>from deep</w:t>
      </w:r>
      <w:r w:rsidR="00001819">
        <w:rPr>
          <w:rFonts w:ascii="ArialNarrow" w:hAnsi="ArialNarrow" w:cs="ArialNarrow"/>
          <w:sz w:val="26"/>
          <w:szCs w:val="26"/>
          <w:lang w:eastAsia="en-AU"/>
        </w:rPr>
        <w:t xml:space="preserve"> soil layers will</w:t>
      </w:r>
      <w:r w:rsidR="007B455A">
        <w:rPr>
          <w:rFonts w:ascii="ArialNarrow" w:hAnsi="ArialNarrow" w:cs="ArialNarrow"/>
          <w:sz w:val="26"/>
          <w:szCs w:val="26"/>
          <w:lang w:eastAsia="en-AU"/>
        </w:rPr>
        <w:t xml:space="preserve"> cease, and the system</w:t>
      </w:r>
      <w:r w:rsidR="00001819">
        <w:rPr>
          <w:rFonts w:ascii="ArialNarrow" w:hAnsi="ArialNarrow" w:cs="ArialNarrow"/>
          <w:sz w:val="26"/>
          <w:szCs w:val="26"/>
          <w:lang w:eastAsia="en-AU"/>
        </w:rPr>
        <w:t xml:space="preserve"> become</w:t>
      </w:r>
      <w:r w:rsidR="007B455A">
        <w:rPr>
          <w:rFonts w:ascii="ArialNarrow" w:hAnsi="ArialNarrow" w:cs="ArialNarrow"/>
          <w:sz w:val="26"/>
          <w:szCs w:val="26"/>
          <w:lang w:eastAsia="en-AU"/>
        </w:rPr>
        <w:t>s</w:t>
      </w:r>
      <w:r w:rsidR="00001819">
        <w:rPr>
          <w:rFonts w:ascii="ArialNarrow" w:hAnsi="ArialNarrow" w:cs="ArialNarrow"/>
          <w:sz w:val="26"/>
          <w:szCs w:val="26"/>
          <w:lang w:eastAsia="en-AU"/>
        </w:rPr>
        <w:t xml:space="preserve"> more open than before</w:t>
      </w:r>
      <w:r w:rsidR="00C22249">
        <w:rPr>
          <w:rFonts w:ascii="ArialNarrow" w:hAnsi="ArialNarrow" w:cs="ArialNarrow"/>
          <w:sz w:val="26"/>
          <w:szCs w:val="26"/>
          <w:lang w:eastAsia="en-AU"/>
        </w:rPr>
        <w:t>,</w:t>
      </w:r>
      <w:r w:rsidR="00001819">
        <w:rPr>
          <w:rFonts w:ascii="ArialNarrow" w:hAnsi="ArialNarrow" w:cs="ArialNarrow"/>
          <w:sz w:val="26"/>
          <w:szCs w:val="26"/>
          <w:lang w:eastAsia="en-AU"/>
        </w:rPr>
        <w:t xml:space="preserve"> with enhancement of the rate </w:t>
      </w:r>
      <w:r w:rsidR="00B126AA">
        <w:rPr>
          <w:rFonts w:ascii="ArialNarrow" w:hAnsi="ArialNarrow" w:cs="ArialNarrow"/>
          <w:sz w:val="26"/>
          <w:szCs w:val="26"/>
          <w:lang w:eastAsia="en-AU"/>
        </w:rPr>
        <w:t>of nutrient element removal</w:t>
      </w:r>
      <w:r w:rsidR="00001819">
        <w:rPr>
          <w:rFonts w:ascii="ArialNarrow" w:hAnsi="ArialNarrow" w:cs="ArialNarrow"/>
          <w:sz w:val="26"/>
          <w:szCs w:val="26"/>
          <w:lang w:eastAsia="en-AU"/>
        </w:rPr>
        <w:t xml:space="preserve"> by leaching</w:t>
      </w:r>
      <w:r w:rsidR="00C22FDA">
        <w:rPr>
          <w:rFonts w:ascii="ArialNarrow" w:hAnsi="ArialNarrow" w:cs="ArialNarrow"/>
          <w:sz w:val="26"/>
          <w:szCs w:val="26"/>
          <w:lang w:eastAsia="en-AU"/>
        </w:rPr>
        <w:t xml:space="preserve"> </w:t>
      </w:r>
      <w:r w:rsidR="00B126AA">
        <w:rPr>
          <w:rFonts w:ascii="ArialNarrow" w:hAnsi="ArialNarrow" w:cs="ArialNarrow"/>
          <w:sz w:val="26"/>
          <w:szCs w:val="26"/>
          <w:lang w:eastAsia="en-AU"/>
        </w:rPr>
        <w:t xml:space="preserve">and </w:t>
      </w:r>
      <w:r w:rsidR="00001819">
        <w:rPr>
          <w:rFonts w:ascii="ArialNarrow" w:hAnsi="ArialNarrow" w:cs="ArialNarrow"/>
          <w:sz w:val="26"/>
          <w:szCs w:val="26"/>
          <w:lang w:eastAsia="en-AU"/>
        </w:rPr>
        <w:t>top</w:t>
      </w:r>
      <w:r w:rsidR="00B126AA">
        <w:rPr>
          <w:rFonts w:ascii="ArialNarrow" w:hAnsi="ArialNarrow" w:cs="ArialNarrow"/>
          <w:sz w:val="26"/>
          <w:szCs w:val="26"/>
          <w:lang w:eastAsia="en-AU"/>
        </w:rPr>
        <w:t>soil erosion.</w:t>
      </w:r>
      <w:r w:rsidR="007B455A">
        <w:rPr>
          <w:rFonts w:ascii="ArialNarrow" w:hAnsi="ArialNarrow" w:cs="ArialNarrow"/>
          <w:sz w:val="26"/>
          <w:szCs w:val="26"/>
          <w:lang w:eastAsia="en-AU"/>
        </w:rPr>
        <w:t xml:space="preserve"> </w:t>
      </w:r>
      <w:r w:rsidR="00E06EB9" w:rsidRPr="00E82173">
        <w:rPr>
          <w:rFonts w:ascii="Arial" w:hAnsi="Arial" w:cs="Arial"/>
          <w:sz w:val="26"/>
          <w:szCs w:val="26"/>
          <w:lang w:eastAsia="en-AU"/>
        </w:rPr>
        <w:t>The only viable solution for the futu</w:t>
      </w:r>
      <w:r w:rsidR="00E06EB9">
        <w:rPr>
          <w:rFonts w:ascii="Arial" w:hAnsi="Arial" w:cs="Arial"/>
          <w:sz w:val="26"/>
          <w:szCs w:val="26"/>
          <w:lang w:eastAsia="en-AU"/>
        </w:rPr>
        <w:t>re is to try to replace these</w:t>
      </w:r>
      <w:r w:rsidR="00E06EB9" w:rsidRPr="00E82173">
        <w:rPr>
          <w:rFonts w:ascii="Arial" w:hAnsi="Arial" w:cs="Arial"/>
          <w:sz w:val="26"/>
          <w:szCs w:val="26"/>
          <w:lang w:eastAsia="en-AU"/>
        </w:rPr>
        <w:t xml:space="preserve"> open agricultural</w:t>
      </w:r>
      <w:r w:rsidR="00E06EB9">
        <w:rPr>
          <w:rFonts w:ascii="Arial" w:hAnsi="Arial" w:cs="Arial"/>
          <w:sz w:val="26"/>
          <w:szCs w:val="26"/>
          <w:lang w:eastAsia="en-AU"/>
        </w:rPr>
        <w:t xml:space="preserve"> </w:t>
      </w:r>
      <w:r w:rsidR="00E06EB9" w:rsidRPr="00E82173">
        <w:rPr>
          <w:rFonts w:ascii="Arial" w:hAnsi="Arial" w:cs="Arial"/>
          <w:sz w:val="26"/>
          <w:szCs w:val="26"/>
          <w:lang w:eastAsia="en-AU"/>
        </w:rPr>
        <w:t>ecosystems with new ones that in a</w:t>
      </w:r>
      <w:r w:rsidR="00E06EB9">
        <w:rPr>
          <w:rFonts w:ascii="Arial" w:hAnsi="Arial" w:cs="Arial"/>
          <w:sz w:val="26"/>
          <w:szCs w:val="26"/>
          <w:lang w:eastAsia="en-AU"/>
        </w:rPr>
        <w:t xml:space="preserve"> geochemical sense are </w:t>
      </w:r>
      <w:r w:rsidR="00E06EB9">
        <w:rPr>
          <w:rFonts w:ascii="Arial" w:hAnsi="Arial" w:cs="Arial"/>
          <w:sz w:val="26"/>
          <w:szCs w:val="26"/>
          <w:lang w:eastAsia="en-AU"/>
        </w:rPr>
        <w:lastRenderedPageBreak/>
        <w:t>similar to the</w:t>
      </w:r>
      <w:r w:rsidR="00E06EB9" w:rsidRPr="00E82173">
        <w:rPr>
          <w:rFonts w:ascii="Arial" w:hAnsi="Arial" w:cs="Arial"/>
          <w:sz w:val="26"/>
          <w:szCs w:val="26"/>
          <w:lang w:eastAsia="en-AU"/>
        </w:rPr>
        <w:t xml:space="preserve"> natural forest ecosystems</w:t>
      </w:r>
      <w:r w:rsidR="00E06EB9">
        <w:rPr>
          <w:rFonts w:ascii="Arial" w:hAnsi="Arial" w:cs="Arial"/>
          <w:sz w:val="26"/>
          <w:szCs w:val="26"/>
          <w:lang w:eastAsia="en-AU"/>
        </w:rPr>
        <w:t xml:space="preserve"> that they</w:t>
      </w:r>
      <w:r w:rsidR="00E06EB9" w:rsidRPr="00E82173">
        <w:rPr>
          <w:rFonts w:ascii="Arial" w:hAnsi="Arial" w:cs="Arial"/>
          <w:sz w:val="26"/>
          <w:szCs w:val="26"/>
          <w:lang w:eastAsia="en-AU"/>
        </w:rPr>
        <w:t xml:space="preserve"> have replaced</w:t>
      </w:r>
      <w:r w:rsidR="00E06EB9">
        <w:rPr>
          <w:rFonts w:ascii="Arial" w:hAnsi="Arial" w:cs="Arial"/>
          <w:sz w:val="26"/>
          <w:szCs w:val="26"/>
          <w:lang w:eastAsia="en-AU"/>
        </w:rPr>
        <w:t xml:space="preserve"> (Christophersen et al 2012).</w:t>
      </w:r>
    </w:p>
    <w:p w:rsidR="00E82173" w:rsidRDefault="00E82173" w:rsidP="00E82173">
      <w:pPr>
        <w:autoSpaceDE w:val="0"/>
        <w:autoSpaceDN w:val="0"/>
        <w:adjustRightInd w:val="0"/>
        <w:rPr>
          <w:rFonts w:ascii="Arial" w:hAnsi="Arial" w:cs="Arial"/>
          <w:b/>
          <w:bCs/>
          <w:iCs/>
          <w:sz w:val="32"/>
          <w:szCs w:val="32"/>
          <w:lang w:eastAsia="en-AU"/>
        </w:rPr>
      </w:pPr>
    </w:p>
    <w:p w:rsidR="00E82173" w:rsidRPr="00E06EB9" w:rsidRDefault="00B126AA" w:rsidP="00E82173">
      <w:pPr>
        <w:autoSpaceDE w:val="0"/>
        <w:autoSpaceDN w:val="0"/>
        <w:adjustRightInd w:val="0"/>
        <w:rPr>
          <w:rFonts w:ascii="Arial" w:hAnsi="Arial" w:cs="Arial"/>
          <w:b/>
          <w:bCs/>
          <w:iCs/>
          <w:lang w:eastAsia="en-AU"/>
        </w:rPr>
      </w:pPr>
      <w:r w:rsidRPr="00E06EB9">
        <w:rPr>
          <w:rFonts w:ascii="Arial" w:hAnsi="Arial" w:cs="Arial"/>
          <w:b/>
          <w:bCs/>
          <w:iCs/>
          <w:lang w:eastAsia="en-AU"/>
        </w:rPr>
        <w:t xml:space="preserve">Medical consequences of </w:t>
      </w:r>
      <w:proofErr w:type="spellStart"/>
      <w:r w:rsidRPr="00E06EB9">
        <w:rPr>
          <w:rFonts w:ascii="Arial" w:hAnsi="Arial" w:cs="Arial"/>
          <w:b/>
          <w:bCs/>
          <w:iCs/>
          <w:lang w:eastAsia="en-AU"/>
        </w:rPr>
        <w:t>biophile</w:t>
      </w:r>
      <w:proofErr w:type="spellEnd"/>
      <w:r w:rsidRPr="00E06EB9">
        <w:rPr>
          <w:rFonts w:ascii="Arial" w:hAnsi="Arial" w:cs="Arial"/>
          <w:b/>
          <w:bCs/>
          <w:iCs/>
          <w:lang w:eastAsia="en-AU"/>
        </w:rPr>
        <w:t xml:space="preserve"> element depletion</w:t>
      </w:r>
    </w:p>
    <w:p w:rsidR="00E82173" w:rsidRPr="00E82173" w:rsidRDefault="00E82173" w:rsidP="00E82173">
      <w:pPr>
        <w:autoSpaceDE w:val="0"/>
        <w:autoSpaceDN w:val="0"/>
        <w:adjustRightInd w:val="0"/>
        <w:rPr>
          <w:rFonts w:ascii="Arial" w:hAnsi="Arial" w:cs="Arial"/>
          <w:b/>
          <w:bCs/>
          <w:iCs/>
          <w:sz w:val="32"/>
          <w:szCs w:val="32"/>
          <w:lang w:eastAsia="en-AU"/>
        </w:rPr>
      </w:pPr>
    </w:p>
    <w:p w:rsidR="00E82173" w:rsidRDefault="00E06EB9" w:rsidP="00E82173">
      <w:pPr>
        <w:autoSpaceDE w:val="0"/>
        <w:autoSpaceDN w:val="0"/>
        <w:adjustRightInd w:val="0"/>
        <w:rPr>
          <w:rFonts w:ascii="Arial" w:hAnsi="Arial" w:cs="Arial"/>
          <w:sz w:val="26"/>
          <w:szCs w:val="26"/>
          <w:lang w:eastAsia="en-AU"/>
        </w:rPr>
      </w:pPr>
      <w:r>
        <w:rPr>
          <w:rFonts w:ascii="Arial" w:hAnsi="Arial" w:cs="Arial"/>
          <w:sz w:val="26"/>
          <w:szCs w:val="26"/>
          <w:lang w:eastAsia="en-AU"/>
        </w:rPr>
        <w:t>Selenium and sulphur are</w:t>
      </w:r>
      <w:r w:rsidR="00E82173" w:rsidRPr="00E82173">
        <w:rPr>
          <w:rFonts w:ascii="Arial" w:hAnsi="Arial" w:cs="Arial"/>
          <w:sz w:val="26"/>
          <w:szCs w:val="26"/>
          <w:lang w:eastAsia="en-AU"/>
        </w:rPr>
        <w:t xml:space="preserve"> strongly </w:t>
      </w:r>
      <w:proofErr w:type="spellStart"/>
      <w:r w:rsidR="00E82173" w:rsidRPr="00E82173">
        <w:rPr>
          <w:rFonts w:ascii="Arial" w:hAnsi="Arial" w:cs="Arial"/>
          <w:sz w:val="26"/>
          <w:szCs w:val="26"/>
          <w:lang w:eastAsia="en-AU"/>
        </w:rPr>
        <w:t>bioph</w:t>
      </w:r>
      <w:r>
        <w:rPr>
          <w:rFonts w:ascii="Arial" w:hAnsi="Arial" w:cs="Arial"/>
          <w:sz w:val="26"/>
          <w:szCs w:val="26"/>
          <w:lang w:eastAsia="en-AU"/>
        </w:rPr>
        <w:t>ile</w:t>
      </w:r>
      <w:proofErr w:type="spellEnd"/>
      <w:r>
        <w:rPr>
          <w:rFonts w:ascii="Arial" w:hAnsi="Arial" w:cs="Arial"/>
          <w:sz w:val="26"/>
          <w:szCs w:val="26"/>
          <w:lang w:eastAsia="en-AU"/>
        </w:rPr>
        <w:t xml:space="preserve"> elements.</w:t>
      </w:r>
      <w:r w:rsidR="00E82173" w:rsidRPr="00E82173">
        <w:rPr>
          <w:rFonts w:ascii="Arial" w:hAnsi="Arial" w:cs="Arial"/>
          <w:sz w:val="26"/>
          <w:szCs w:val="26"/>
          <w:lang w:eastAsia="en-AU"/>
        </w:rPr>
        <w:t xml:space="preserve"> </w:t>
      </w:r>
      <w:r>
        <w:rPr>
          <w:rFonts w:ascii="Arial" w:hAnsi="Arial" w:cs="Arial"/>
          <w:sz w:val="26"/>
          <w:szCs w:val="26"/>
          <w:lang w:eastAsia="en-AU"/>
        </w:rPr>
        <w:t>Selenium (as selenate) and s</w:t>
      </w:r>
      <w:r w:rsidR="00E82173" w:rsidRPr="00E82173">
        <w:rPr>
          <w:rFonts w:ascii="Arial" w:hAnsi="Arial" w:cs="Arial"/>
          <w:sz w:val="26"/>
          <w:szCs w:val="26"/>
          <w:lang w:eastAsia="en-AU"/>
        </w:rPr>
        <w:t>ulphur</w:t>
      </w:r>
      <w:r>
        <w:rPr>
          <w:rFonts w:ascii="Arial" w:hAnsi="Arial" w:cs="Arial"/>
          <w:sz w:val="26"/>
          <w:szCs w:val="26"/>
          <w:lang w:eastAsia="en-AU"/>
        </w:rPr>
        <w:t xml:space="preserve"> (as sulphate) are</w:t>
      </w:r>
      <w:r w:rsidR="00E82173" w:rsidRPr="00E82173">
        <w:rPr>
          <w:rFonts w:ascii="Arial" w:hAnsi="Arial" w:cs="Arial"/>
          <w:sz w:val="26"/>
          <w:szCs w:val="26"/>
          <w:lang w:eastAsia="en-AU"/>
        </w:rPr>
        <w:t xml:space="preserve"> very leachable under</w:t>
      </w:r>
      <w:r w:rsidR="002A0FD1">
        <w:rPr>
          <w:rFonts w:ascii="Arial" w:hAnsi="Arial" w:cs="Arial"/>
          <w:sz w:val="26"/>
          <w:szCs w:val="26"/>
          <w:lang w:eastAsia="en-AU"/>
        </w:rPr>
        <w:t xml:space="preserve"> </w:t>
      </w:r>
      <w:r w:rsidR="00E82173" w:rsidRPr="00E82173">
        <w:rPr>
          <w:rFonts w:ascii="Arial" w:hAnsi="Arial" w:cs="Arial"/>
          <w:sz w:val="26"/>
          <w:szCs w:val="26"/>
          <w:lang w:eastAsia="en-AU"/>
        </w:rPr>
        <w:t xml:space="preserve">humid climatic conditions, </w:t>
      </w:r>
      <w:r w:rsidR="00B126AA">
        <w:rPr>
          <w:rFonts w:ascii="Arial" w:hAnsi="Arial" w:cs="Arial"/>
          <w:sz w:val="26"/>
          <w:szCs w:val="26"/>
          <w:lang w:eastAsia="en-AU"/>
        </w:rPr>
        <w:t>and</w:t>
      </w:r>
      <w:r w:rsidR="00E82173" w:rsidRPr="00E82173">
        <w:rPr>
          <w:rFonts w:ascii="Arial" w:hAnsi="Arial" w:cs="Arial"/>
          <w:sz w:val="26"/>
          <w:szCs w:val="26"/>
          <w:lang w:eastAsia="en-AU"/>
        </w:rPr>
        <w:t xml:space="preserve"> can also be lost to</w:t>
      </w:r>
      <w:r w:rsidR="002A0FD1">
        <w:rPr>
          <w:rFonts w:ascii="Arial" w:hAnsi="Arial" w:cs="Arial"/>
          <w:sz w:val="26"/>
          <w:szCs w:val="26"/>
          <w:lang w:eastAsia="en-AU"/>
        </w:rPr>
        <w:t xml:space="preserve"> </w:t>
      </w:r>
      <w:r w:rsidR="00E82173" w:rsidRPr="00E82173">
        <w:rPr>
          <w:rFonts w:ascii="Arial" w:hAnsi="Arial" w:cs="Arial"/>
          <w:sz w:val="26"/>
          <w:szCs w:val="26"/>
          <w:lang w:eastAsia="en-AU"/>
        </w:rPr>
        <w:t>the atmosph</w:t>
      </w:r>
      <w:r w:rsidR="00B126AA">
        <w:rPr>
          <w:rFonts w:ascii="Arial" w:hAnsi="Arial" w:cs="Arial"/>
          <w:sz w:val="26"/>
          <w:szCs w:val="26"/>
          <w:lang w:eastAsia="en-AU"/>
        </w:rPr>
        <w:t>ere</w:t>
      </w:r>
      <w:r w:rsidR="00E82173" w:rsidRPr="00E82173">
        <w:rPr>
          <w:rFonts w:ascii="Arial" w:hAnsi="Arial" w:cs="Arial"/>
          <w:sz w:val="26"/>
          <w:szCs w:val="26"/>
          <w:lang w:eastAsia="en-AU"/>
        </w:rPr>
        <w:t xml:space="preserve"> in</w:t>
      </w:r>
      <w:r w:rsidR="00C22249">
        <w:rPr>
          <w:rFonts w:ascii="Arial" w:hAnsi="Arial" w:cs="Arial"/>
          <w:sz w:val="26"/>
          <w:szCs w:val="26"/>
          <w:lang w:eastAsia="en-AU"/>
        </w:rPr>
        <w:t xml:space="preserve"> the</w:t>
      </w:r>
      <w:r w:rsidR="00E82173" w:rsidRPr="00E82173">
        <w:rPr>
          <w:rFonts w:ascii="Arial" w:hAnsi="Arial" w:cs="Arial"/>
          <w:sz w:val="26"/>
          <w:szCs w:val="26"/>
          <w:lang w:eastAsia="en-AU"/>
        </w:rPr>
        <w:t xml:space="preserve"> form of </w:t>
      </w:r>
      <w:r>
        <w:rPr>
          <w:rFonts w:ascii="Arial" w:hAnsi="Arial" w:cs="Arial"/>
          <w:sz w:val="26"/>
          <w:szCs w:val="26"/>
          <w:lang w:eastAsia="en-AU"/>
        </w:rPr>
        <w:t>SeO</w:t>
      </w:r>
      <w:r w:rsidRPr="002215F2">
        <w:rPr>
          <w:rFonts w:ascii="Arial" w:hAnsi="Arial" w:cs="Arial"/>
          <w:sz w:val="26"/>
          <w:szCs w:val="26"/>
          <w:vertAlign w:val="subscript"/>
          <w:lang w:eastAsia="en-AU"/>
        </w:rPr>
        <w:t>2</w:t>
      </w:r>
      <w:r>
        <w:rPr>
          <w:rFonts w:ascii="Arial" w:hAnsi="Arial" w:cs="Arial"/>
          <w:sz w:val="26"/>
          <w:szCs w:val="26"/>
          <w:lang w:eastAsia="en-AU"/>
        </w:rPr>
        <w:t xml:space="preserve"> and </w:t>
      </w:r>
      <w:proofErr w:type="gramStart"/>
      <w:r w:rsidR="00E82173" w:rsidRPr="00E82173">
        <w:rPr>
          <w:rFonts w:ascii="Arial" w:hAnsi="Arial" w:cs="Arial"/>
          <w:sz w:val="26"/>
          <w:szCs w:val="26"/>
          <w:lang w:eastAsia="en-AU"/>
        </w:rPr>
        <w:t>SO</w:t>
      </w:r>
      <w:r w:rsidR="00E82173" w:rsidRPr="00E82173">
        <w:rPr>
          <w:rFonts w:ascii="Arial" w:hAnsi="Arial" w:cs="Arial"/>
          <w:sz w:val="17"/>
          <w:szCs w:val="17"/>
          <w:lang w:eastAsia="en-AU"/>
        </w:rPr>
        <w:t>2</w:t>
      </w:r>
      <w:r>
        <w:rPr>
          <w:rFonts w:ascii="Arial" w:hAnsi="Arial" w:cs="Arial"/>
          <w:sz w:val="17"/>
          <w:szCs w:val="17"/>
          <w:lang w:eastAsia="en-AU"/>
        </w:rPr>
        <w:t xml:space="preserve"> </w:t>
      </w:r>
      <w:r w:rsidR="002215F2">
        <w:rPr>
          <w:rFonts w:ascii="Arial" w:hAnsi="Arial" w:cs="Arial"/>
          <w:sz w:val="17"/>
          <w:szCs w:val="17"/>
          <w:lang w:eastAsia="en-AU"/>
        </w:rPr>
        <w:t>,</w:t>
      </w:r>
      <w:proofErr w:type="gramEnd"/>
      <w:r w:rsidR="002215F2">
        <w:rPr>
          <w:rFonts w:ascii="Arial" w:hAnsi="Arial" w:cs="Arial"/>
          <w:sz w:val="17"/>
          <w:szCs w:val="17"/>
          <w:lang w:eastAsia="en-AU"/>
        </w:rPr>
        <w:t xml:space="preserve"> </w:t>
      </w:r>
      <w:r w:rsidR="00E82173" w:rsidRPr="00E82173">
        <w:rPr>
          <w:rFonts w:ascii="Arial" w:hAnsi="Arial" w:cs="Arial"/>
          <w:sz w:val="17"/>
          <w:szCs w:val="17"/>
          <w:lang w:eastAsia="en-AU"/>
        </w:rPr>
        <w:t xml:space="preserve"> </w:t>
      </w:r>
      <w:r>
        <w:rPr>
          <w:rFonts w:ascii="Arial" w:hAnsi="Arial" w:cs="Arial"/>
          <w:sz w:val="26"/>
          <w:szCs w:val="26"/>
          <w:lang w:eastAsia="en-AU"/>
        </w:rPr>
        <w:t>respectively,</w:t>
      </w:r>
      <w:r w:rsidR="00E82173" w:rsidRPr="00E82173">
        <w:rPr>
          <w:rFonts w:ascii="Arial" w:hAnsi="Arial" w:cs="Arial"/>
          <w:sz w:val="26"/>
          <w:szCs w:val="26"/>
          <w:lang w:eastAsia="en-AU"/>
        </w:rPr>
        <w:t xml:space="preserve"> as a consequence of</w:t>
      </w:r>
      <w:r w:rsidR="002A0FD1">
        <w:rPr>
          <w:rFonts w:ascii="Arial" w:hAnsi="Arial" w:cs="Arial"/>
          <w:sz w:val="26"/>
          <w:szCs w:val="26"/>
          <w:lang w:eastAsia="en-AU"/>
        </w:rPr>
        <w:t xml:space="preserve"> </w:t>
      </w:r>
      <w:r w:rsidR="00E82173" w:rsidRPr="00E82173">
        <w:rPr>
          <w:rFonts w:ascii="Arial" w:hAnsi="Arial" w:cs="Arial"/>
          <w:sz w:val="26"/>
          <w:szCs w:val="26"/>
          <w:lang w:eastAsia="en-AU"/>
        </w:rPr>
        <w:t>anthropogenic fires, especially on the savanna</w:t>
      </w:r>
      <w:r w:rsidR="002A0FD1">
        <w:rPr>
          <w:rFonts w:ascii="Arial" w:hAnsi="Arial" w:cs="Arial"/>
          <w:sz w:val="26"/>
          <w:szCs w:val="26"/>
          <w:lang w:eastAsia="en-AU"/>
        </w:rPr>
        <w:t>h</w:t>
      </w:r>
      <w:r w:rsidR="009E2E85">
        <w:rPr>
          <w:rFonts w:ascii="Arial" w:hAnsi="Arial" w:cs="Arial"/>
          <w:sz w:val="26"/>
          <w:szCs w:val="26"/>
          <w:lang w:eastAsia="en-AU"/>
        </w:rPr>
        <w:t xml:space="preserve"> (Christophersen et al 2012)</w:t>
      </w:r>
      <w:r w:rsidR="00E82173" w:rsidRPr="00E82173">
        <w:rPr>
          <w:rFonts w:ascii="Arial" w:hAnsi="Arial" w:cs="Arial"/>
          <w:sz w:val="26"/>
          <w:szCs w:val="26"/>
          <w:lang w:eastAsia="en-AU"/>
        </w:rPr>
        <w:t>. Su</w:t>
      </w:r>
      <w:r w:rsidR="002A0FD1">
        <w:rPr>
          <w:rFonts w:ascii="Arial" w:hAnsi="Arial" w:cs="Arial"/>
          <w:sz w:val="26"/>
          <w:szCs w:val="26"/>
          <w:lang w:eastAsia="en-AU"/>
        </w:rPr>
        <w:t>lphur is necessary, similarly to</w:t>
      </w:r>
      <w:r w:rsidR="00E82173" w:rsidRPr="00E82173">
        <w:rPr>
          <w:rFonts w:ascii="Arial" w:hAnsi="Arial" w:cs="Arial"/>
          <w:sz w:val="26"/>
          <w:szCs w:val="26"/>
          <w:lang w:eastAsia="en-AU"/>
        </w:rPr>
        <w:t xml:space="preserve"> nitrogen, for protein synthesis in plan</w:t>
      </w:r>
      <w:r w:rsidR="002A0FD1">
        <w:rPr>
          <w:rFonts w:ascii="Arial" w:hAnsi="Arial" w:cs="Arial"/>
          <w:sz w:val="26"/>
          <w:szCs w:val="26"/>
          <w:lang w:eastAsia="en-AU"/>
        </w:rPr>
        <w:t>ts, with the synthesis of more sulphur</w:t>
      </w:r>
      <w:r w:rsidR="00E82173" w:rsidRPr="00E82173">
        <w:rPr>
          <w:rFonts w:ascii="Arial" w:hAnsi="Arial" w:cs="Arial"/>
          <w:sz w:val="26"/>
          <w:szCs w:val="26"/>
          <w:lang w:eastAsia="en-AU"/>
        </w:rPr>
        <w:t>-rich protein molecules being even more strongly inhibited than total</w:t>
      </w:r>
      <w:r w:rsidR="002A0FD1">
        <w:rPr>
          <w:rFonts w:ascii="Arial" w:hAnsi="Arial" w:cs="Arial"/>
          <w:sz w:val="26"/>
          <w:szCs w:val="26"/>
          <w:lang w:eastAsia="en-AU"/>
        </w:rPr>
        <w:t xml:space="preserve"> </w:t>
      </w:r>
      <w:r w:rsidR="00E82173" w:rsidRPr="00E82173">
        <w:rPr>
          <w:rFonts w:ascii="Arial" w:hAnsi="Arial" w:cs="Arial"/>
          <w:sz w:val="26"/>
          <w:szCs w:val="26"/>
          <w:lang w:eastAsia="en-AU"/>
        </w:rPr>
        <w:t>prot</w:t>
      </w:r>
      <w:r w:rsidR="002A0FD1">
        <w:rPr>
          <w:rFonts w:ascii="Arial" w:hAnsi="Arial" w:cs="Arial"/>
          <w:sz w:val="26"/>
          <w:szCs w:val="26"/>
          <w:lang w:eastAsia="en-AU"/>
        </w:rPr>
        <w:t>ein synthesis when the soil is sulphur</w:t>
      </w:r>
      <w:r w:rsidR="000D10F0">
        <w:rPr>
          <w:rFonts w:ascii="Arial" w:hAnsi="Arial" w:cs="Arial"/>
          <w:sz w:val="26"/>
          <w:szCs w:val="26"/>
          <w:lang w:eastAsia="en-AU"/>
        </w:rPr>
        <w:t>-deficie</w:t>
      </w:r>
      <w:r w:rsidR="00C55168">
        <w:rPr>
          <w:rFonts w:ascii="Arial" w:hAnsi="Arial" w:cs="Arial"/>
          <w:sz w:val="26"/>
          <w:szCs w:val="26"/>
          <w:lang w:eastAsia="en-AU"/>
        </w:rPr>
        <w:t>nt. In the more humid parts of s</w:t>
      </w:r>
      <w:r w:rsidR="000D10F0">
        <w:rPr>
          <w:rFonts w:ascii="Arial" w:hAnsi="Arial" w:cs="Arial"/>
          <w:sz w:val="26"/>
          <w:szCs w:val="26"/>
          <w:lang w:eastAsia="en-AU"/>
        </w:rPr>
        <w:t>ub-Saharan Afri</w:t>
      </w:r>
      <w:r w:rsidR="002215F2">
        <w:rPr>
          <w:rFonts w:ascii="Arial" w:hAnsi="Arial" w:cs="Arial"/>
          <w:sz w:val="26"/>
          <w:szCs w:val="26"/>
          <w:lang w:eastAsia="en-AU"/>
        </w:rPr>
        <w:t>ca</w:t>
      </w:r>
      <w:r w:rsidR="000D10F0">
        <w:rPr>
          <w:rFonts w:ascii="Arial" w:hAnsi="Arial" w:cs="Arial"/>
          <w:sz w:val="26"/>
          <w:szCs w:val="26"/>
          <w:lang w:eastAsia="en-AU"/>
        </w:rPr>
        <w:t xml:space="preserve">, there are large areas where the human diet is deficient </w:t>
      </w:r>
      <w:r w:rsidR="002215F2">
        <w:rPr>
          <w:rFonts w:ascii="Arial" w:hAnsi="Arial" w:cs="Arial"/>
          <w:sz w:val="26"/>
          <w:szCs w:val="26"/>
          <w:lang w:eastAsia="en-AU"/>
        </w:rPr>
        <w:t>in sulphur</w:t>
      </w:r>
      <w:r w:rsidR="00B126AA">
        <w:rPr>
          <w:rFonts w:ascii="Arial" w:hAnsi="Arial" w:cs="Arial"/>
          <w:sz w:val="26"/>
          <w:szCs w:val="26"/>
          <w:lang w:eastAsia="en-AU"/>
        </w:rPr>
        <w:t xml:space="preserve"> amino </w:t>
      </w:r>
      <w:proofErr w:type="gramStart"/>
      <w:r w:rsidR="00B126AA">
        <w:rPr>
          <w:rFonts w:ascii="Arial" w:hAnsi="Arial" w:cs="Arial"/>
          <w:sz w:val="26"/>
          <w:szCs w:val="26"/>
          <w:lang w:eastAsia="en-AU"/>
        </w:rPr>
        <w:t xml:space="preserve">acids, </w:t>
      </w:r>
      <w:r w:rsidR="007B455A">
        <w:rPr>
          <w:rFonts w:ascii="Arial" w:hAnsi="Arial" w:cs="Arial"/>
          <w:sz w:val="26"/>
          <w:szCs w:val="26"/>
          <w:lang w:eastAsia="en-AU"/>
        </w:rPr>
        <w:t>w</w:t>
      </w:r>
      <w:r w:rsidR="009E2E85">
        <w:rPr>
          <w:rFonts w:ascii="Arial" w:hAnsi="Arial" w:cs="Arial"/>
          <w:sz w:val="26"/>
          <w:szCs w:val="26"/>
          <w:lang w:eastAsia="en-AU"/>
        </w:rPr>
        <w:t>hich is</w:t>
      </w:r>
      <w:proofErr w:type="gramEnd"/>
      <w:r w:rsidR="009E2E85">
        <w:rPr>
          <w:rFonts w:ascii="Arial" w:hAnsi="Arial" w:cs="Arial"/>
          <w:sz w:val="26"/>
          <w:szCs w:val="26"/>
          <w:lang w:eastAsia="en-AU"/>
        </w:rPr>
        <w:t xml:space="preserve"> in part explained by a low protein intake</w:t>
      </w:r>
      <w:r w:rsidR="002215F2">
        <w:rPr>
          <w:rFonts w:ascii="Arial" w:hAnsi="Arial" w:cs="Arial"/>
          <w:sz w:val="26"/>
          <w:szCs w:val="26"/>
          <w:lang w:eastAsia="en-AU"/>
        </w:rPr>
        <w:t>, but which may also be due to sulphur</w:t>
      </w:r>
      <w:r w:rsidR="009E2E85">
        <w:rPr>
          <w:rFonts w:ascii="Arial" w:hAnsi="Arial" w:cs="Arial"/>
          <w:sz w:val="26"/>
          <w:szCs w:val="26"/>
          <w:lang w:eastAsia="en-AU"/>
        </w:rPr>
        <w:t xml:space="preserve"> deficiency in the soil (Christophersen et a</w:t>
      </w:r>
      <w:r w:rsidR="002215F2">
        <w:rPr>
          <w:rFonts w:ascii="Arial" w:hAnsi="Arial" w:cs="Arial"/>
          <w:sz w:val="26"/>
          <w:szCs w:val="26"/>
          <w:lang w:eastAsia="en-AU"/>
        </w:rPr>
        <w:t>l 2012; Gondwe et al, unpublished</w:t>
      </w:r>
      <w:r w:rsidR="009E2E85">
        <w:rPr>
          <w:rFonts w:ascii="Arial" w:hAnsi="Arial" w:cs="Arial"/>
          <w:sz w:val="26"/>
          <w:szCs w:val="26"/>
          <w:lang w:eastAsia="en-AU"/>
        </w:rPr>
        <w:t>).</w:t>
      </w:r>
      <w:r w:rsidR="00B457D8">
        <w:rPr>
          <w:rFonts w:ascii="Arial" w:hAnsi="Arial" w:cs="Arial"/>
          <w:sz w:val="26"/>
          <w:szCs w:val="26"/>
          <w:lang w:eastAsia="en-AU"/>
        </w:rPr>
        <w:t xml:space="preserve"> For example, a survey of Zambian maize grain</w:t>
      </w:r>
      <w:r w:rsidR="00E73C16">
        <w:rPr>
          <w:rFonts w:ascii="Arial" w:hAnsi="Arial" w:cs="Arial"/>
          <w:sz w:val="26"/>
          <w:szCs w:val="26"/>
          <w:lang w:eastAsia="en-AU"/>
        </w:rPr>
        <w:t xml:space="preserve"> conducted in 2012</w:t>
      </w:r>
      <w:r w:rsidR="00B457D8">
        <w:rPr>
          <w:rFonts w:ascii="Arial" w:hAnsi="Arial" w:cs="Arial"/>
          <w:sz w:val="26"/>
          <w:szCs w:val="26"/>
          <w:lang w:eastAsia="en-AU"/>
        </w:rPr>
        <w:t xml:space="preserve"> revealed a median S concentration of only 1030 mg/kg</w:t>
      </w:r>
      <w:r w:rsidR="00E73C16">
        <w:rPr>
          <w:rFonts w:ascii="Arial" w:hAnsi="Arial" w:cs="Arial"/>
          <w:sz w:val="26"/>
          <w:szCs w:val="26"/>
          <w:lang w:eastAsia="en-AU"/>
        </w:rPr>
        <w:t xml:space="preserve"> and N</w:t>
      </w:r>
      <w:proofErr w:type="gramStart"/>
      <w:r w:rsidR="00E73C16">
        <w:rPr>
          <w:rFonts w:ascii="Arial" w:hAnsi="Arial" w:cs="Arial"/>
          <w:sz w:val="26"/>
          <w:szCs w:val="26"/>
          <w:lang w:eastAsia="en-AU"/>
        </w:rPr>
        <w:t>:S</w:t>
      </w:r>
      <w:proofErr w:type="gramEnd"/>
      <w:r w:rsidR="00E73C16">
        <w:rPr>
          <w:rFonts w:ascii="Arial" w:hAnsi="Arial" w:cs="Arial"/>
          <w:sz w:val="26"/>
          <w:szCs w:val="26"/>
          <w:lang w:eastAsia="en-AU"/>
        </w:rPr>
        <w:t xml:space="preserve"> ratios of 13-15</w:t>
      </w:r>
      <w:r w:rsidR="002215F2">
        <w:rPr>
          <w:rFonts w:ascii="Arial" w:hAnsi="Arial" w:cs="Arial"/>
          <w:sz w:val="26"/>
          <w:szCs w:val="26"/>
          <w:lang w:eastAsia="en-AU"/>
        </w:rPr>
        <w:t xml:space="preserve"> (Gondwe et al, unpublished</w:t>
      </w:r>
      <w:r w:rsidR="00E73C16">
        <w:rPr>
          <w:rFonts w:ascii="Arial" w:hAnsi="Arial" w:cs="Arial"/>
          <w:sz w:val="26"/>
          <w:szCs w:val="26"/>
          <w:lang w:eastAsia="en-AU"/>
        </w:rPr>
        <w:t>). Critical deficiency levels for S in maize grain are around 1700 mg/kg and 8-9, respectively (Reuter</w:t>
      </w:r>
      <w:r w:rsidR="002215F2">
        <w:rPr>
          <w:rFonts w:ascii="Arial" w:hAnsi="Arial" w:cs="Arial"/>
          <w:sz w:val="26"/>
          <w:szCs w:val="26"/>
          <w:lang w:eastAsia="en-AU"/>
        </w:rPr>
        <w:t xml:space="preserve"> and</w:t>
      </w:r>
      <w:r w:rsidR="00E73C16">
        <w:rPr>
          <w:rFonts w:ascii="Arial" w:hAnsi="Arial" w:cs="Arial"/>
          <w:sz w:val="26"/>
          <w:szCs w:val="26"/>
          <w:lang w:eastAsia="en-AU"/>
        </w:rPr>
        <w:t xml:space="preserve"> Robinson 1997).</w:t>
      </w:r>
      <w:r w:rsidR="002215F2">
        <w:rPr>
          <w:rFonts w:ascii="Arial" w:hAnsi="Arial" w:cs="Arial"/>
          <w:sz w:val="26"/>
          <w:szCs w:val="26"/>
          <w:lang w:eastAsia="en-AU"/>
        </w:rPr>
        <w:t xml:space="preserve"> Likewise, plant-available selenium is very low in many soils in Zambia, Mal</w:t>
      </w:r>
      <w:r w:rsidR="00C55168">
        <w:rPr>
          <w:rFonts w:ascii="Arial" w:hAnsi="Arial" w:cs="Arial"/>
          <w:sz w:val="26"/>
          <w:szCs w:val="26"/>
          <w:lang w:eastAsia="en-AU"/>
        </w:rPr>
        <w:t>awi, Rwanda, Burundi and other s</w:t>
      </w:r>
      <w:r w:rsidR="002215F2">
        <w:rPr>
          <w:rFonts w:ascii="Arial" w:hAnsi="Arial" w:cs="Arial"/>
          <w:sz w:val="26"/>
          <w:szCs w:val="26"/>
          <w:lang w:eastAsia="en-AU"/>
        </w:rPr>
        <w:t>ub-Saharan African countries, with levels of less than 20</w:t>
      </w:r>
      <w:r w:rsidR="002215F2" w:rsidRPr="002215F2">
        <w:t xml:space="preserve"> </w:t>
      </w:r>
      <w:r w:rsidR="002215F2" w:rsidRPr="002215F2">
        <w:rPr>
          <w:rFonts w:ascii="Arial" w:hAnsi="Arial" w:cs="Arial"/>
        </w:rPr>
        <w:t>µg</w:t>
      </w:r>
      <w:r w:rsidR="002215F2">
        <w:rPr>
          <w:rFonts w:ascii="Arial" w:hAnsi="Arial" w:cs="Arial"/>
          <w:sz w:val="26"/>
          <w:szCs w:val="26"/>
          <w:lang w:eastAsia="en-AU"/>
        </w:rPr>
        <w:t xml:space="preserve"> /kg selenium in maize grain </w:t>
      </w:r>
      <w:r w:rsidR="007B455A">
        <w:rPr>
          <w:rFonts w:ascii="Arial" w:hAnsi="Arial" w:cs="Arial"/>
          <w:sz w:val="26"/>
          <w:szCs w:val="26"/>
          <w:lang w:eastAsia="en-AU"/>
        </w:rPr>
        <w:t>common (Chilimba et al, 2011</w:t>
      </w:r>
      <w:r w:rsidR="002215F2">
        <w:rPr>
          <w:rFonts w:ascii="Arial" w:hAnsi="Arial" w:cs="Arial"/>
          <w:sz w:val="26"/>
          <w:szCs w:val="26"/>
          <w:lang w:eastAsia="en-AU"/>
        </w:rPr>
        <w:t>; Gondwe et al, unpublished</w:t>
      </w:r>
      <w:r w:rsidR="007B455A">
        <w:rPr>
          <w:rFonts w:ascii="Arial" w:hAnsi="Arial" w:cs="Arial"/>
          <w:sz w:val="26"/>
          <w:szCs w:val="26"/>
          <w:lang w:eastAsia="en-AU"/>
        </w:rPr>
        <w:t xml:space="preserve">; Hurst et al, 2013; </w:t>
      </w:r>
      <w:proofErr w:type="spellStart"/>
      <w:r w:rsidR="007B455A">
        <w:rPr>
          <w:rFonts w:ascii="Arial" w:hAnsi="Arial" w:cs="Arial"/>
          <w:sz w:val="26"/>
          <w:szCs w:val="26"/>
          <w:lang w:eastAsia="en-AU"/>
        </w:rPr>
        <w:t>Vanderpas</w:t>
      </w:r>
      <w:proofErr w:type="spellEnd"/>
      <w:r w:rsidR="007B455A">
        <w:rPr>
          <w:rFonts w:ascii="Arial" w:hAnsi="Arial" w:cs="Arial"/>
          <w:sz w:val="26"/>
          <w:szCs w:val="26"/>
          <w:lang w:eastAsia="en-AU"/>
        </w:rPr>
        <w:t xml:space="preserve"> et al, 1990</w:t>
      </w:r>
      <w:r w:rsidR="002215F2">
        <w:rPr>
          <w:rFonts w:ascii="Arial" w:hAnsi="Arial" w:cs="Arial"/>
          <w:sz w:val="26"/>
          <w:szCs w:val="26"/>
          <w:lang w:eastAsia="en-AU"/>
        </w:rPr>
        <w:t>).</w:t>
      </w:r>
      <w:r w:rsidR="00E73C16">
        <w:rPr>
          <w:rFonts w:ascii="Arial" w:hAnsi="Arial" w:cs="Arial"/>
          <w:sz w:val="26"/>
          <w:szCs w:val="26"/>
          <w:lang w:eastAsia="en-AU"/>
        </w:rPr>
        <w:t xml:space="preserve"> </w:t>
      </w:r>
    </w:p>
    <w:p w:rsidR="00576743" w:rsidRPr="00E82173" w:rsidRDefault="00576743" w:rsidP="00E82173">
      <w:pPr>
        <w:autoSpaceDE w:val="0"/>
        <w:autoSpaceDN w:val="0"/>
        <w:adjustRightInd w:val="0"/>
        <w:rPr>
          <w:rFonts w:ascii="Arial" w:hAnsi="Arial" w:cs="Arial"/>
          <w:sz w:val="26"/>
          <w:szCs w:val="26"/>
          <w:lang w:eastAsia="en-AU"/>
        </w:rPr>
      </w:pPr>
    </w:p>
    <w:p w:rsidR="00E82173" w:rsidRDefault="003B0524" w:rsidP="00C22249">
      <w:pPr>
        <w:rPr>
          <w:rFonts w:ascii="Arial" w:hAnsi="Arial" w:cs="Arial"/>
          <w:sz w:val="26"/>
          <w:szCs w:val="26"/>
          <w:lang w:eastAsia="en-AU"/>
        </w:rPr>
      </w:pPr>
      <w:r>
        <w:rPr>
          <w:rFonts w:ascii="Arial" w:hAnsi="Arial" w:cs="Arial"/>
          <w:sz w:val="26"/>
          <w:szCs w:val="26"/>
          <w:lang w:eastAsia="en-AU"/>
        </w:rPr>
        <w:t xml:space="preserve">Protein deficiency is likely to be associated with deficiencies in vitamins (e.g. vitamin A, vitamin B12) and minerals (e.g. zinc, iron, selenium and iodine). </w:t>
      </w:r>
      <w:r w:rsidR="00E82173" w:rsidRPr="00E82173">
        <w:rPr>
          <w:rFonts w:ascii="Arial" w:hAnsi="Arial" w:cs="Arial"/>
          <w:sz w:val="26"/>
          <w:szCs w:val="26"/>
          <w:lang w:eastAsia="en-AU"/>
        </w:rPr>
        <w:t>Medical consequences include brain damage in foetuses and children</w:t>
      </w:r>
      <w:r w:rsidR="00C22249">
        <w:rPr>
          <w:rFonts w:ascii="Arial" w:hAnsi="Arial" w:cs="Arial"/>
          <w:sz w:val="26"/>
          <w:szCs w:val="26"/>
          <w:lang w:eastAsia="en-AU"/>
        </w:rPr>
        <w:t xml:space="preserve"> </w:t>
      </w:r>
      <w:r w:rsidR="00E82173" w:rsidRPr="00E82173">
        <w:rPr>
          <w:rFonts w:ascii="Arial" w:hAnsi="Arial" w:cs="Arial"/>
          <w:sz w:val="26"/>
          <w:szCs w:val="26"/>
          <w:lang w:eastAsia="en-AU"/>
        </w:rPr>
        <w:t>(because of iodine and zinc deficiencies), kwashiorkor, general impairment of immunological de</w:t>
      </w:r>
      <w:r w:rsidR="00576743">
        <w:rPr>
          <w:rFonts w:ascii="Arial" w:hAnsi="Arial" w:cs="Arial"/>
          <w:sz w:val="26"/>
          <w:szCs w:val="26"/>
          <w:lang w:eastAsia="en-AU"/>
        </w:rPr>
        <w:t>fenc</w:t>
      </w:r>
      <w:r w:rsidR="00E82173" w:rsidRPr="00E82173">
        <w:rPr>
          <w:rFonts w:ascii="Arial" w:hAnsi="Arial" w:cs="Arial"/>
          <w:sz w:val="26"/>
          <w:szCs w:val="26"/>
          <w:lang w:eastAsia="en-AU"/>
        </w:rPr>
        <w:t xml:space="preserve">e </w:t>
      </w:r>
      <w:proofErr w:type="spellStart"/>
      <w:r w:rsidR="00E82173" w:rsidRPr="00E82173">
        <w:rPr>
          <w:rFonts w:ascii="Arial" w:hAnsi="Arial" w:cs="Arial"/>
          <w:i/>
          <w:iCs/>
          <w:sz w:val="26"/>
          <w:szCs w:val="26"/>
          <w:lang w:eastAsia="en-AU"/>
        </w:rPr>
        <w:t>i.a</w:t>
      </w:r>
      <w:proofErr w:type="spellEnd"/>
      <w:r w:rsidR="00E82173" w:rsidRPr="00E82173">
        <w:rPr>
          <w:rFonts w:ascii="Arial" w:hAnsi="Arial" w:cs="Arial"/>
          <w:i/>
          <w:iCs/>
          <w:sz w:val="26"/>
          <w:szCs w:val="26"/>
          <w:lang w:eastAsia="en-AU"/>
        </w:rPr>
        <w:t xml:space="preserve">. </w:t>
      </w:r>
      <w:r w:rsidR="00E82173" w:rsidRPr="00E82173">
        <w:rPr>
          <w:rFonts w:ascii="Arial" w:hAnsi="Arial" w:cs="Arial"/>
          <w:sz w:val="26"/>
          <w:szCs w:val="26"/>
          <w:lang w:eastAsia="en-AU"/>
        </w:rPr>
        <w:t>as a</w:t>
      </w:r>
      <w:r w:rsidR="00576743">
        <w:rPr>
          <w:rFonts w:ascii="Arial" w:hAnsi="Arial" w:cs="Arial"/>
          <w:sz w:val="26"/>
          <w:szCs w:val="26"/>
          <w:lang w:eastAsia="en-AU"/>
        </w:rPr>
        <w:t xml:space="preserve"> </w:t>
      </w:r>
      <w:r w:rsidR="00E82173" w:rsidRPr="00E82173">
        <w:rPr>
          <w:rFonts w:ascii="Arial" w:hAnsi="Arial" w:cs="Arial"/>
          <w:sz w:val="26"/>
          <w:szCs w:val="26"/>
          <w:lang w:eastAsia="en-AU"/>
        </w:rPr>
        <w:t>consequence of reduced growth rate in leukocytes, more rapid growth of tubercle bacilli,</w:t>
      </w:r>
      <w:r w:rsidR="00C22249">
        <w:rPr>
          <w:rFonts w:ascii="Arial" w:hAnsi="Arial" w:cs="Arial"/>
          <w:sz w:val="26"/>
          <w:szCs w:val="26"/>
          <w:lang w:eastAsia="en-AU"/>
        </w:rPr>
        <w:t xml:space="preserve"> </w:t>
      </w:r>
      <w:r w:rsidR="00E82173" w:rsidRPr="00E82173">
        <w:rPr>
          <w:rFonts w:ascii="Arial" w:hAnsi="Arial" w:cs="Arial"/>
          <w:sz w:val="26"/>
          <w:szCs w:val="26"/>
          <w:lang w:eastAsia="en-AU"/>
        </w:rPr>
        <w:t>and more rapid replication and population dispersal of the HIV virus (</w:t>
      </w:r>
      <w:proofErr w:type="spellStart"/>
      <w:r w:rsidR="00E82173" w:rsidRPr="00E82173">
        <w:rPr>
          <w:rFonts w:ascii="Arial" w:hAnsi="Arial" w:cs="Arial"/>
          <w:i/>
          <w:iCs/>
          <w:sz w:val="26"/>
          <w:szCs w:val="26"/>
          <w:lang w:eastAsia="en-AU"/>
        </w:rPr>
        <w:t>i.a</w:t>
      </w:r>
      <w:proofErr w:type="spellEnd"/>
      <w:r w:rsidR="00E82173" w:rsidRPr="00E82173">
        <w:rPr>
          <w:rFonts w:ascii="Arial" w:hAnsi="Arial" w:cs="Arial"/>
          <w:i/>
          <w:iCs/>
          <w:sz w:val="26"/>
          <w:szCs w:val="26"/>
          <w:lang w:eastAsia="en-AU"/>
        </w:rPr>
        <w:t xml:space="preserve">. </w:t>
      </w:r>
      <w:r w:rsidR="00E82173" w:rsidRPr="00E82173">
        <w:rPr>
          <w:rFonts w:ascii="Arial" w:hAnsi="Arial" w:cs="Arial"/>
          <w:sz w:val="26"/>
          <w:szCs w:val="26"/>
          <w:lang w:eastAsia="en-AU"/>
        </w:rPr>
        <w:t>because glutathione and selenium</w:t>
      </w:r>
      <w:r w:rsidR="00576743">
        <w:rPr>
          <w:rFonts w:ascii="Arial" w:hAnsi="Arial" w:cs="Arial"/>
          <w:sz w:val="26"/>
          <w:szCs w:val="26"/>
          <w:lang w:eastAsia="en-AU"/>
        </w:rPr>
        <w:t xml:space="preserve"> </w:t>
      </w:r>
      <w:r w:rsidR="00E82173" w:rsidRPr="00E82173">
        <w:rPr>
          <w:rFonts w:ascii="Arial" w:hAnsi="Arial" w:cs="Arial"/>
          <w:sz w:val="26"/>
          <w:szCs w:val="26"/>
          <w:lang w:eastAsia="en-AU"/>
        </w:rPr>
        <w:t xml:space="preserve">depletion leads to enhanced activation of </w:t>
      </w:r>
      <w:proofErr w:type="spellStart"/>
      <w:r w:rsidR="00E82173" w:rsidRPr="00E82173">
        <w:rPr>
          <w:rFonts w:ascii="Arial" w:hAnsi="Arial" w:cs="Arial"/>
          <w:sz w:val="26"/>
          <w:szCs w:val="26"/>
          <w:lang w:eastAsia="en-AU"/>
        </w:rPr>
        <w:t>oxidatively</w:t>
      </w:r>
      <w:proofErr w:type="spellEnd"/>
      <w:r w:rsidR="00E82173" w:rsidRPr="00E82173">
        <w:rPr>
          <w:rFonts w:ascii="Arial" w:hAnsi="Arial" w:cs="Arial"/>
          <w:sz w:val="26"/>
          <w:szCs w:val="26"/>
          <w:lang w:eastAsia="en-AU"/>
        </w:rPr>
        <w:t xml:space="preserve"> activated transcription factors such as NF-</w:t>
      </w:r>
      <w:proofErr w:type="spellStart"/>
      <w:r w:rsidR="00E82173" w:rsidRPr="00E82173">
        <w:rPr>
          <w:rFonts w:ascii="Arial" w:hAnsi="Arial" w:cs="Arial"/>
          <w:i/>
          <w:iCs/>
          <w:sz w:val="26"/>
          <w:szCs w:val="26"/>
          <w:lang w:eastAsia="en-AU"/>
        </w:rPr>
        <w:t>kappa</w:t>
      </w:r>
      <w:r w:rsidR="00E82173" w:rsidRPr="00E82173">
        <w:rPr>
          <w:rFonts w:ascii="Arial" w:hAnsi="Arial" w:cs="Arial"/>
          <w:sz w:val="26"/>
          <w:szCs w:val="26"/>
          <w:lang w:eastAsia="en-AU"/>
        </w:rPr>
        <w:t>B</w:t>
      </w:r>
      <w:proofErr w:type="spellEnd"/>
      <w:r w:rsidR="00E82173" w:rsidRPr="00E82173">
        <w:rPr>
          <w:rFonts w:ascii="Arial" w:hAnsi="Arial" w:cs="Arial"/>
          <w:sz w:val="26"/>
          <w:szCs w:val="26"/>
          <w:lang w:eastAsia="en-AU"/>
        </w:rPr>
        <w:t xml:space="preserve"> and Sp1</w:t>
      </w:r>
      <w:r w:rsidR="00576743">
        <w:rPr>
          <w:rFonts w:ascii="Arial" w:hAnsi="Arial" w:cs="Arial"/>
          <w:sz w:val="26"/>
          <w:szCs w:val="26"/>
          <w:lang w:eastAsia="en-AU"/>
        </w:rPr>
        <w:t xml:space="preserve"> </w:t>
      </w:r>
      <w:r w:rsidR="00E82173" w:rsidRPr="00E82173">
        <w:rPr>
          <w:rFonts w:ascii="Arial" w:hAnsi="Arial" w:cs="Arial"/>
          <w:sz w:val="26"/>
          <w:szCs w:val="26"/>
          <w:lang w:eastAsia="en-AU"/>
        </w:rPr>
        <w:t>that enhance the transcription of the HIV provirus gene in infected leukocytes)</w:t>
      </w:r>
      <w:r>
        <w:rPr>
          <w:rFonts w:ascii="Arial" w:hAnsi="Arial" w:cs="Arial"/>
          <w:sz w:val="26"/>
          <w:szCs w:val="26"/>
          <w:lang w:eastAsia="en-AU"/>
        </w:rPr>
        <w:t xml:space="preserve"> (Christophersen et al 2012)</w:t>
      </w:r>
      <w:r w:rsidR="00E82173" w:rsidRPr="00E82173">
        <w:rPr>
          <w:rFonts w:ascii="Arial" w:hAnsi="Arial" w:cs="Arial"/>
          <w:sz w:val="26"/>
          <w:szCs w:val="26"/>
          <w:lang w:eastAsia="en-AU"/>
        </w:rPr>
        <w:t>.</w:t>
      </w:r>
      <w:r>
        <w:rPr>
          <w:rFonts w:ascii="Arial" w:hAnsi="Arial" w:cs="Arial"/>
          <w:sz w:val="26"/>
          <w:szCs w:val="26"/>
          <w:lang w:eastAsia="en-AU"/>
        </w:rPr>
        <w:t xml:space="preserve"> A marked decline in selenium associated with progression of HIV disease was observed in rural Malawi (van </w:t>
      </w:r>
      <w:proofErr w:type="spellStart"/>
      <w:r>
        <w:rPr>
          <w:rFonts w:ascii="Arial" w:hAnsi="Arial" w:cs="Arial"/>
          <w:sz w:val="26"/>
          <w:szCs w:val="26"/>
          <w:lang w:eastAsia="en-AU"/>
        </w:rPr>
        <w:t>Lettow</w:t>
      </w:r>
      <w:proofErr w:type="spellEnd"/>
      <w:r>
        <w:rPr>
          <w:rFonts w:ascii="Arial" w:hAnsi="Arial" w:cs="Arial"/>
          <w:sz w:val="26"/>
          <w:szCs w:val="26"/>
          <w:lang w:eastAsia="en-AU"/>
        </w:rPr>
        <w:t xml:space="preserve"> et al 2004).</w:t>
      </w:r>
    </w:p>
    <w:p w:rsidR="00C02158" w:rsidRDefault="00C02158" w:rsidP="00E82173">
      <w:pPr>
        <w:rPr>
          <w:rFonts w:ascii="Arial" w:hAnsi="Arial" w:cs="Arial"/>
          <w:sz w:val="26"/>
          <w:szCs w:val="26"/>
          <w:lang w:eastAsia="en-AU"/>
        </w:rPr>
      </w:pPr>
    </w:p>
    <w:p w:rsidR="00C02158" w:rsidRPr="00E06EB9" w:rsidRDefault="00C02158" w:rsidP="00E82173">
      <w:pPr>
        <w:rPr>
          <w:rFonts w:ascii="Arial" w:hAnsi="Arial" w:cs="Arial"/>
          <w:b/>
          <w:lang w:eastAsia="en-AU"/>
        </w:rPr>
      </w:pPr>
      <w:r w:rsidRPr="00E06EB9">
        <w:rPr>
          <w:rFonts w:ascii="Arial" w:hAnsi="Arial" w:cs="Arial"/>
          <w:b/>
          <w:lang w:eastAsia="en-AU"/>
        </w:rPr>
        <w:t>Drumming up a village-level solution: the promise of the Drumstick tree (</w:t>
      </w:r>
      <w:proofErr w:type="spellStart"/>
      <w:r w:rsidRPr="00E06EB9">
        <w:rPr>
          <w:rFonts w:ascii="Arial" w:hAnsi="Arial" w:cs="Arial"/>
          <w:b/>
          <w:i/>
          <w:lang w:eastAsia="en-AU"/>
        </w:rPr>
        <w:t>Moringa</w:t>
      </w:r>
      <w:proofErr w:type="spellEnd"/>
      <w:r w:rsidRPr="00E06EB9">
        <w:rPr>
          <w:rFonts w:ascii="Arial" w:hAnsi="Arial" w:cs="Arial"/>
          <w:b/>
          <w:i/>
          <w:lang w:eastAsia="en-AU"/>
        </w:rPr>
        <w:t xml:space="preserve"> </w:t>
      </w:r>
      <w:proofErr w:type="spellStart"/>
      <w:r w:rsidRPr="00E06EB9">
        <w:rPr>
          <w:rFonts w:ascii="Arial" w:hAnsi="Arial" w:cs="Arial"/>
          <w:b/>
          <w:i/>
          <w:lang w:eastAsia="en-AU"/>
        </w:rPr>
        <w:t>oleifera</w:t>
      </w:r>
      <w:proofErr w:type="spellEnd"/>
      <w:r w:rsidRPr="00E06EB9">
        <w:rPr>
          <w:rFonts w:ascii="Arial" w:hAnsi="Arial" w:cs="Arial"/>
          <w:b/>
          <w:lang w:eastAsia="en-AU"/>
        </w:rPr>
        <w:t>) for Africa</w:t>
      </w:r>
    </w:p>
    <w:p w:rsidR="008F6DD4" w:rsidRPr="005D4375" w:rsidRDefault="008F6DD4" w:rsidP="00E82173">
      <w:pPr>
        <w:rPr>
          <w:rFonts w:ascii="Arial" w:hAnsi="Arial" w:cs="Arial"/>
          <w:lang w:eastAsia="en-AU"/>
        </w:rPr>
      </w:pPr>
    </w:p>
    <w:p w:rsidR="008F6DD4" w:rsidRDefault="008F6DD4" w:rsidP="00E82173">
      <w:pPr>
        <w:rPr>
          <w:rFonts w:ascii="Arial" w:hAnsi="Arial" w:cs="Arial"/>
          <w:lang w:eastAsia="en-AU"/>
        </w:rPr>
      </w:pPr>
      <w:r>
        <w:rPr>
          <w:rFonts w:ascii="Arial" w:hAnsi="Arial" w:cs="Arial"/>
          <w:lang w:eastAsia="en-AU"/>
        </w:rPr>
        <w:t>The “drumstick tree” or “miracle tree” (</w:t>
      </w:r>
      <w:proofErr w:type="spellStart"/>
      <w:r>
        <w:rPr>
          <w:rFonts w:ascii="Arial" w:hAnsi="Arial" w:cs="Arial"/>
          <w:i/>
          <w:lang w:eastAsia="en-AU"/>
        </w:rPr>
        <w:t>Moringa</w:t>
      </w:r>
      <w:proofErr w:type="spellEnd"/>
      <w:r>
        <w:rPr>
          <w:rFonts w:ascii="Arial" w:hAnsi="Arial" w:cs="Arial"/>
          <w:i/>
          <w:lang w:eastAsia="en-AU"/>
        </w:rPr>
        <w:t xml:space="preserve"> </w:t>
      </w:r>
      <w:proofErr w:type="spellStart"/>
      <w:r>
        <w:rPr>
          <w:rFonts w:ascii="Arial" w:hAnsi="Arial" w:cs="Arial"/>
          <w:i/>
          <w:lang w:eastAsia="en-AU"/>
        </w:rPr>
        <w:t>oleifera</w:t>
      </w:r>
      <w:proofErr w:type="spellEnd"/>
      <w:r>
        <w:rPr>
          <w:rFonts w:ascii="Arial" w:hAnsi="Arial" w:cs="Arial"/>
          <w:lang w:eastAsia="en-AU"/>
        </w:rPr>
        <w:t>) is already well known for its high nutritional val</w:t>
      </w:r>
      <w:r w:rsidR="009C2A07">
        <w:rPr>
          <w:rFonts w:ascii="Arial" w:hAnsi="Arial" w:cs="Arial"/>
          <w:lang w:eastAsia="en-AU"/>
        </w:rPr>
        <w:t>ue</w:t>
      </w:r>
      <w:r>
        <w:rPr>
          <w:rFonts w:ascii="Arial" w:hAnsi="Arial" w:cs="Arial"/>
          <w:lang w:eastAsia="en-AU"/>
        </w:rPr>
        <w:t xml:space="preserve">. It grows well in tropical and sub-tropical regions, </w:t>
      </w:r>
      <w:r>
        <w:rPr>
          <w:rFonts w:ascii="Arial" w:hAnsi="Arial" w:cs="Arial"/>
          <w:lang w:eastAsia="en-AU"/>
        </w:rPr>
        <w:lastRenderedPageBreak/>
        <w:t>even on poor soils and produces</w:t>
      </w:r>
      <w:r w:rsidR="00CA4CB8">
        <w:rPr>
          <w:rFonts w:ascii="Arial" w:hAnsi="Arial" w:cs="Arial"/>
          <w:lang w:eastAsia="en-AU"/>
        </w:rPr>
        <w:t xml:space="preserve"> abundant leaves high in protein (with a favourable amino acid balance), vitamins, minerals and a range of beneficial </w:t>
      </w:r>
      <w:proofErr w:type="spellStart"/>
      <w:r w:rsidR="00CA4CB8">
        <w:rPr>
          <w:rFonts w:ascii="Arial" w:hAnsi="Arial" w:cs="Arial"/>
          <w:lang w:eastAsia="en-AU"/>
        </w:rPr>
        <w:t>phytochemicals</w:t>
      </w:r>
      <w:proofErr w:type="spellEnd"/>
      <w:r w:rsidR="002A1DD7">
        <w:rPr>
          <w:rFonts w:ascii="Arial" w:hAnsi="Arial" w:cs="Arial"/>
          <w:lang w:eastAsia="en-AU"/>
        </w:rPr>
        <w:t xml:space="preserve">, including anticancer </w:t>
      </w:r>
      <w:proofErr w:type="spellStart"/>
      <w:r w:rsidR="002A1DD7">
        <w:rPr>
          <w:rFonts w:ascii="Arial" w:hAnsi="Arial" w:cs="Arial"/>
          <w:lang w:eastAsia="en-AU"/>
        </w:rPr>
        <w:t>glucosinolates</w:t>
      </w:r>
      <w:proofErr w:type="spellEnd"/>
      <w:r w:rsidR="002A1DD7">
        <w:rPr>
          <w:rFonts w:ascii="Arial" w:hAnsi="Arial" w:cs="Arial"/>
          <w:lang w:eastAsia="en-AU"/>
        </w:rPr>
        <w:t xml:space="preserve"> (Anwar et al 2007; </w:t>
      </w:r>
      <w:proofErr w:type="spellStart"/>
      <w:r w:rsidR="002A1DD7">
        <w:rPr>
          <w:rFonts w:ascii="Arial" w:hAnsi="Arial" w:cs="Arial"/>
          <w:lang w:eastAsia="en-AU"/>
        </w:rPr>
        <w:t>Mbikay</w:t>
      </w:r>
      <w:proofErr w:type="spellEnd"/>
      <w:r w:rsidR="002A1DD7">
        <w:rPr>
          <w:rFonts w:ascii="Arial" w:hAnsi="Arial" w:cs="Arial"/>
          <w:lang w:eastAsia="en-AU"/>
        </w:rPr>
        <w:t xml:space="preserve"> 2012). </w:t>
      </w:r>
      <w:proofErr w:type="spellStart"/>
      <w:r w:rsidR="002A1DD7">
        <w:rPr>
          <w:rFonts w:ascii="Arial" w:hAnsi="Arial" w:cs="Arial"/>
          <w:lang w:eastAsia="en-AU"/>
        </w:rPr>
        <w:t>Moringa</w:t>
      </w:r>
      <w:proofErr w:type="spellEnd"/>
      <w:r w:rsidR="002A1DD7">
        <w:rPr>
          <w:rFonts w:ascii="Arial" w:hAnsi="Arial" w:cs="Arial"/>
          <w:lang w:eastAsia="en-AU"/>
        </w:rPr>
        <w:t xml:space="preserve"> leaves had the highest beta-carotene level (427 mg/kg) of all leaf samples collected by our group in South Pacific countries and Northern Australia in 2012 (</w:t>
      </w:r>
      <w:r w:rsidR="00F57A62">
        <w:rPr>
          <w:rFonts w:ascii="Arial" w:hAnsi="Arial" w:cs="Arial"/>
          <w:lang w:eastAsia="en-AU"/>
        </w:rPr>
        <w:t xml:space="preserve">Table 1, </w:t>
      </w:r>
      <w:r w:rsidR="002A1DD7">
        <w:rPr>
          <w:rFonts w:ascii="Arial" w:hAnsi="Arial" w:cs="Arial"/>
          <w:lang w:eastAsia="en-AU"/>
        </w:rPr>
        <w:t xml:space="preserve">Lyons et al, unpublished), and bioconversion of beta-carotene in </w:t>
      </w:r>
      <w:proofErr w:type="spellStart"/>
      <w:r w:rsidR="002A1DD7">
        <w:rPr>
          <w:rFonts w:ascii="Arial" w:hAnsi="Arial" w:cs="Arial"/>
          <w:lang w:eastAsia="en-AU"/>
        </w:rPr>
        <w:t>Moringa</w:t>
      </w:r>
      <w:proofErr w:type="spellEnd"/>
      <w:r w:rsidR="002A1DD7">
        <w:rPr>
          <w:rFonts w:ascii="Arial" w:hAnsi="Arial" w:cs="Arial"/>
          <w:lang w:eastAsia="en-AU"/>
        </w:rPr>
        <w:t xml:space="preserve"> leaves to vitamin A is efficient (</w:t>
      </w:r>
      <w:proofErr w:type="spellStart"/>
      <w:r w:rsidR="002A1DD7">
        <w:rPr>
          <w:rFonts w:ascii="Arial" w:hAnsi="Arial" w:cs="Arial"/>
          <w:lang w:eastAsia="en-AU"/>
        </w:rPr>
        <w:t>Ejoh</w:t>
      </w:r>
      <w:proofErr w:type="spellEnd"/>
      <w:r w:rsidR="002A1DD7">
        <w:rPr>
          <w:rFonts w:ascii="Arial" w:hAnsi="Arial" w:cs="Arial"/>
          <w:lang w:eastAsia="en-AU"/>
        </w:rPr>
        <w:t xml:space="preserve"> et al 2010).</w:t>
      </w:r>
      <w:r w:rsidR="00CA4CB8">
        <w:rPr>
          <w:rFonts w:ascii="Arial" w:hAnsi="Arial" w:cs="Arial"/>
          <w:lang w:eastAsia="en-AU"/>
        </w:rPr>
        <w:t xml:space="preserve"> </w:t>
      </w:r>
      <w:proofErr w:type="spellStart"/>
      <w:r w:rsidR="00CA4CB8">
        <w:rPr>
          <w:rFonts w:ascii="Arial" w:hAnsi="Arial" w:cs="Arial"/>
          <w:lang w:eastAsia="en-AU"/>
        </w:rPr>
        <w:t>Moringa</w:t>
      </w:r>
      <w:proofErr w:type="spellEnd"/>
      <w:r w:rsidR="00CA4CB8">
        <w:rPr>
          <w:rFonts w:ascii="Arial" w:hAnsi="Arial" w:cs="Arial"/>
          <w:lang w:eastAsia="en-AU"/>
        </w:rPr>
        <w:t xml:space="preserve"> leaves are low in </w:t>
      </w:r>
      <w:proofErr w:type="spellStart"/>
      <w:r w:rsidR="00CA4CB8">
        <w:rPr>
          <w:rFonts w:ascii="Arial" w:hAnsi="Arial" w:cs="Arial"/>
          <w:lang w:eastAsia="en-AU"/>
        </w:rPr>
        <w:t>antinutrients</w:t>
      </w:r>
      <w:proofErr w:type="spellEnd"/>
      <w:r w:rsidR="00CA4CB8">
        <w:rPr>
          <w:rFonts w:ascii="Arial" w:hAnsi="Arial" w:cs="Arial"/>
          <w:lang w:eastAsia="en-AU"/>
        </w:rPr>
        <w:t>, hence the bioavailability of nutrient</w:t>
      </w:r>
      <w:r w:rsidR="00691DDA">
        <w:rPr>
          <w:rFonts w:ascii="Arial" w:hAnsi="Arial" w:cs="Arial"/>
          <w:lang w:eastAsia="en-AU"/>
        </w:rPr>
        <w:t xml:space="preserve">s and </w:t>
      </w:r>
      <w:r w:rsidR="00CA4CB8">
        <w:rPr>
          <w:rFonts w:ascii="Arial" w:hAnsi="Arial" w:cs="Arial"/>
          <w:lang w:eastAsia="en-AU"/>
        </w:rPr>
        <w:t>micronutrient</w:t>
      </w:r>
      <w:r w:rsidR="00691DDA">
        <w:rPr>
          <w:rFonts w:ascii="Arial" w:hAnsi="Arial" w:cs="Arial"/>
          <w:lang w:eastAsia="en-AU"/>
        </w:rPr>
        <w:t>s in the leaves is</w:t>
      </w:r>
      <w:r w:rsidR="00CA4CB8">
        <w:rPr>
          <w:rFonts w:ascii="Arial" w:hAnsi="Arial" w:cs="Arial"/>
          <w:lang w:eastAsia="en-AU"/>
        </w:rPr>
        <w:t xml:space="preserve"> high</w:t>
      </w:r>
      <w:r w:rsidR="00E2761A">
        <w:rPr>
          <w:rFonts w:ascii="Arial" w:hAnsi="Arial" w:cs="Arial"/>
          <w:lang w:eastAsia="en-AU"/>
        </w:rPr>
        <w:t xml:space="preserve"> (Anwar et al </w:t>
      </w:r>
      <w:r w:rsidR="002A1DD7">
        <w:rPr>
          <w:rFonts w:ascii="Arial" w:hAnsi="Arial" w:cs="Arial"/>
          <w:lang w:eastAsia="en-AU"/>
        </w:rPr>
        <w:t xml:space="preserve">2007; </w:t>
      </w:r>
      <w:proofErr w:type="spellStart"/>
      <w:r w:rsidR="002A1DD7">
        <w:rPr>
          <w:rFonts w:ascii="Arial" w:hAnsi="Arial" w:cs="Arial"/>
          <w:lang w:eastAsia="en-AU"/>
        </w:rPr>
        <w:t>Mbikay</w:t>
      </w:r>
      <w:proofErr w:type="spellEnd"/>
      <w:r w:rsidR="002A1DD7">
        <w:rPr>
          <w:rFonts w:ascii="Arial" w:hAnsi="Arial" w:cs="Arial"/>
          <w:lang w:eastAsia="en-AU"/>
        </w:rPr>
        <w:t xml:space="preserve"> 2012)</w:t>
      </w:r>
      <w:r w:rsidR="00CA4CB8">
        <w:rPr>
          <w:rFonts w:ascii="Arial" w:hAnsi="Arial" w:cs="Arial"/>
          <w:lang w:eastAsia="en-AU"/>
        </w:rPr>
        <w:t>.</w:t>
      </w:r>
      <w:r w:rsidR="00691DDA">
        <w:rPr>
          <w:rFonts w:ascii="Arial" w:hAnsi="Arial" w:cs="Arial"/>
          <w:lang w:eastAsia="en-AU"/>
        </w:rPr>
        <w:t xml:space="preserve"> </w:t>
      </w:r>
    </w:p>
    <w:p w:rsidR="00F57A62" w:rsidRDefault="00F57A62" w:rsidP="00E82173">
      <w:pPr>
        <w:rPr>
          <w:rFonts w:ascii="Arial" w:hAnsi="Arial" w:cs="Arial"/>
          <w:lang w:eastAsia="en-AU"/>
        </w:rPr>
      </w:pPr>
    </w:p>
    <w:p w:rsidR="00F57A62" w:rsidRPr="005051F2" w:rsidRDefault="00EC7917" w:rsidP="005051F2">
      <w:pPr>
        <w:ind w:left="270" w:hanging="270"/>
        <w:rPr>
          <w:rFonts w:ascii="Arial" w:hAnsi="Arial" w:cs="Arial"/>
          <w:lang w:eastAsia="en-AU"/>
        </w:rPr>
      </w:pPr>
      <w:proofErr w:type="gramStart"/>
      <w:r w:rsidRPr="00EC7917">
        <w:rPr>
          <w:rFonts w:ascii="Arial" w:hAnsi="Arial" w:cs="Arial"/>
          <w:b/>
          <w:lang w:val="en-US" w:eastAsia="en-AU"/>
        </w:rPr>
        <w:t>Table 1.</w:t>
      </w:r>
      <w:proofErr w:type="gramEnd"/>
      <w:r>
        <w:rPr>
          <w:rFonts w:ascii="Arial" w:hAnsi="Arial" w:cs="Arial"/>
          <w:lang w:val="en-US" w:eastAsia="en-AU"/>
        </w:rPr>
        <w:t xml:space="preserve"> </w:t>
      </w:r>
      <w:r w:rsidRPr="00F57A62">
        <w:rPr>
          <w:rFonts w:ascii="Arial" w:hAnsi="Arial" w:cs="Arial"/>
          <w:lang w:val="en-US" w:eastAsia="en-AU"/>
        </w:rPr>
        <w:t>Drumstick tree</w:t>
      </w:r>
      <w:r w:rsidR="005051F2">
        <w:rPr>
          <w:rFonts w:ascii="Arial" w:hAnsi="Arial" w:cs="Arial"/>
          <w:lang w:val="en-US" w:eastAsia="en-AU"/>
        </w:rPr>
        <w:t xml:space="preserve"> (</w:t>
      </w:r>
      <w:proofErr w:type="spellStart"/>
      <w:r w:rsidR="005051F2">
        <w:rPr>
          <w:rFonts w:ascii="Arial" w:hAnsi="Arial" w:cs="Arial"/>
          <w:i/>
          <w:lang w:val="en-US" w:eastAsia="en-AU"/>
        </w:rPr>
        <w:t>Moringa</w:t>
      </w:r>
      <w:proofErr w:type="spellEnd"/>
      <w:r w:rsidR="005051F2">
        <w:rPr>
          <w:rFonts w:ascii="Arial" w:hAnsi="Arial" w:cs="Arial"/>
          <w:i/>
          <w:lang w:val="en-US" w:eastAsia="en-AU"/>
        </w:rPr>
        <w:t xml:space="preserve"> </w:t>
      </w:r>
      <w:proofErr w:type="spellStart"/>
      <w:r w:rsidR="005051F2">
        <w:rPr>
          <w:rFonts w:ascii="Arial" w:hAnsi="Arial" w:cs="Arial"/>
          <w:i/>
          <w:lang w:val="en-US" w:eastAsia="en-AU"/>
        </w:rPr>
        <w:t>oleifera</w:t>
      </w:r>
      <w:proofErr w:type="spellEnd"/>
      <w:r w:rsidR="005051F2">
        <w:rPr>
          <w:rFonts w:ascii="Arial" w:hAnsi="Arial" w:cs="Arial"/>
          <w:lang w:val="en-US" w:eastAsia="en-AU"/>
        </w:rPr>
        <w:t>)</w:t>
      </w:r>
      <w:r w:rsidRPr="00F57A62">
        <w:rPr>
          <w:rFonts w:ascii="Arial" w:hAnsi="Arial" w:cs="Arial"/>
          <w:lang w:val="en-US" w:eastAsia="en-AU"/>
        </w:rPr>
        <w:t xml:space="preserve"> and </w:t>
      </w:r>
      <w:proofErr w:type="spellStart"/>
      <w:r w:rsidRPr="00F57A62">
        <w:rPr>
          <w:rFonts w:ascii="Arial" w:hAnsi="Arial" w:cs="Arial"/>
          <w:lang w:val="en-US" w:eastAsia="en-AU"/>
        </w:rPr>
        <w:t>Aibika</w:t>
      </w:r>
      <w:proofErr w:type="spellEnd"/>
      <w:r w:rsidRPr="00F57A62">
        <w:rPr>
          <w:rFonts w:ascii="Arial" w:hAnsi="Arial" w:cs="Arial"/>
          <w:lang w:val="en-US" w:eastAsia="en-AU"/>
        </w:rPr>
        <w:t xml:space="preserve"> (</w:t>
      </w:r>
      <w:proofErr w:type="spellStart"/>
      <w:r w:rsidRPr="00F57A62">
        <w:rPr>
          <w:rFonts w:ascii="Arial" w:hAnsi="Arial" w:cs="Arial"/>
          <w:i/>
          <w:iCs/>
          <w:lang w:val="en-US" w:eastAsia="en-AU"/>
        </w:rPr>
        <w:t>Abelmoschus</w:t>
      </w:r>
      <w:proofErr w:type="spellEnd"/>
      <w:r w:rsidRPr="00F57A62">
        <w:rPr>
          <w:rFonts w:ascii="Arial" w:hAnsi="Arial" w:cs="Arial"/>
          <w:i/>
          <w:iCs/>
          <w:lang w:val="en-US" w:eastAsia="en-AU"/>
        </w:rPr>
        <w:t xml:space="preserve"> </w:t>
      </w:r>
      <w:proofErr w:type="spellStart"/>
      <w:r w:rsidRPr="00F57A62">
        <w:rPr>
          <w:rFonts w:ascii="Arial" w:hAnsi="Arial" w:cs="Arial"/>
          <w:lang w:val="en-US" w:eastAsia="en-AU"/>
        </w:rPr>
        <w:t>manihot</w:t>
      </w:r>
      <w:proofErr w:type="spellEnd"/>
      <w:r w:rsidRPr="00F57A62">
        <w:rPr>
          <w:rFonts w:ascii="Arial" w:hAnsi="Arial" w:cs="Arial"/>
          <w:lang w:val="en-US" w:eastAsia="en-AU"/>
        </w:rPr>
        <w:t xml:space="preserve">) grown together at Burns Creek, Honiara, Solomon Islands in 2012 and English cabbage (average of samples bought from Honiara market, Solomon Islands and Nukualofa market, Tonga in 2012)  (concentration in mg/kg dry weight, except N: % dry weight). </w:t>
      </w:r>
      <w:proofErr w:type="spellStart"/>
      <w:r w:rsidRPr="00F57A62">
        <w:rPr>
          <w:rFonts w:ascii="Arial" w:hAnsi="Arial" w:cs="Arial"/>
          <w:lang w:val="en-US" w:eastAsia="en-AU"/>
        </w:rPr>
        <w:t>Aibika</w:t>
      </w:r>
      <w:proofErr w:type="spellEnd"/>
      <w:r w:rsidRPr="00F57A62">
        <w:rPr>
          <w:rFonts w:ascii="Arial" w:hAnsi="Arial" w:cs="Arial"/>
          <w:lang w:val="en-US" w:eastAsia="en-AU"/>
        </w:rPr>
        <w:t xml:space="preserve"> data: average of 3 varieties.</w:t>
      </w:r>
    </w:p>
    <w:p w:rsidR="00131466" w:rsidRDefault="00131466" w:rsidP="00EF3898">
      <w:pPr>
        <w:ind w:left="270" w:hanging="270"/>
        <w:jc w:val="center"/>
        <w:rPr>
          <w:rFonts w:ascii="Arial" w:hAnsi="Arial" w:cs="Arial"/>
          <w:lang w:eastAsia="en-AU"/>
        </w:rPr>
      </w:pPr>
    </w:p>
    <w:tbl>
      <w:tblPr>
        <w:tblStyle w:val="TableClassic1"/>
        <w:tblpPr w:leftFromText="180" w:rightFromText="180" w:vertAnchor="text" w:horzAnchor="margin" w:tblpY="90"/>
        <w:tblW w:w="0" w:type="auto"/>
        <w:tblLook w:val="04A0"/>
      </w:tblPr>
      <w:tblGrid>
        <w:gridCol w:w="1195"/>
        <w:gridCol w:w="558"/>
        <w:gridCol w:w="543"/>
        <w:gridCol w:w="774"/>
        <w:gridCol w:w="694"/>
        <w:gridCol w:w="774"/>
        <w:gridCol w:w="575"/>
        <w:gridCol w:w="654"/>
        <w:gridCol w:w="765"/>
        <w:gridCol w:w="995"/>
        <w:gridCol w:w="995"/>
      </w:tblGrid>
      <w:tr w:rsidR="00EC7917" w:rsidTr="00EF3898">
        <w:trPr>
          <w:cnfStyle w:val="100000000000"/>
        </w:trPr>
        <w:tc>
          <w:tcPr>
            <w:cnfStyle w:val="001000000000"/>
            <w:tcW w:w="774" w:type="dxa"/>
          </w:tcPr>
          <w:p w:rsidR="00F57A62" w:rsidRPr="00EC7917" w:rsidRDefault="00F57A62" w:rsidP="00F57A62">
            <w:pPr>
              <w:rPr>
                <w:rFonts w:ascii="Arial" w:hAnsi="Arial" w:cs="Arial"/>
                <w:sz w:val="20"/>
                <w:szCs w:val="20"/>
                <w:lang w:eastAsia="en-AU"/>
              </w:rPr>
            </w:pPr>
          </w:p>
        </w:tc>
        <w:tc>
          <w:tcPr>
            <w:tcW w:w="774" w:type="dxa"/>
          </w:tcPr>
          <w:p w:rsidR="00F57A62" w:rsidRPr="00EC7917" w:rsidRDefault="00EC7917" w:rsidP="00F57A62">
            <w:pPr>
              <w:cnfStyle w:val="100000000000"/>
              <w:rPr>
                <w:rFonts w:ascii="Arial" w:hAnsi="Arial" w:cs="Arial"/>
                <w:sz w:val="20"/>
                <w:szCs w:val="20"/>
                <w:lang w:eastAsia="en-AU"/>
              </w:rPr>
            </w:pPr>
            <w:r w:rsidRPr="00EC7917">
              <w:rPr>
                <w:rFonts w:ascii="Arial" w:hAnsi="Arial" w:cs="Arial"/>
                <w:sz w:val="20"/>
                <w:szCs w:val="20"/>
                <w:lang w:eastAsia="en-AU"/>
              </w:rPr>
              <w:t>Cu</w:t>
            </w:r>
          </w:p>
        </w:tc>
        <w:tc>
          <w:tcPr>
            <w:tcW w:w="774" w:type="dxa"/>
          </w:tcPr>
          <w:p w:rsidR="00F57A62" w:rsidRPr="00EC7917" w:rsidRDefault="00EC7917" w:rsidP="00F57A62">
            <w:pPr>
              <w:cnfStyle w:val="100000000000"/>
              <w:rPr>
                <w:rFonts w:ascii="Arial" w:hAnsi="Arial" w:cs="Arial"/>
                <w:sz w:val="20"/>
                <w:szCs w:val="20"/>
                <w:lang w:eastAsia="en-AU"/>
              </w:rPr>
            </w:pPr>
            <w:r w:rsidRPr="00EC7917">
              <w:rPr>
                <w:rFonts w:ascii="Arial" w:hAnsi="Arial" w:cs="Arial"/>
                <w:sz w:val="20"/>
                <w:szCs w:val="20"/>
                <w:lang w:eastAsia="en-AU"/>
              </w:rPr>
              <w:t>Zn</w:t>
            </w:r>
          </w:p>
        </w:tc>
        <w:tc>
          <w:tcPr>
            <w:tcW w:w="775" w:type="dxa"/>
          </w:tcPr>
          <w:p w:rsidR="00F57A62" w:rsidRPr="00EC7917" w:rsidRDefault="00EC7917" w:rsidP="00F57A62">
            <w:pPr>
              <w:cnfStyle w:val="100000000000"/>
              <w:rPr>
                <w:rFonts w:ascii="Arial" w:hAnsi="Arial" w:cs="Arial"/>
                <w:sz w:val="20"/>
                <w:szCs w:val="20"/>
                <w:lang w:eastAsia="en-AU"/>
              </w:rPr>
            </w:pPr>
            <w:r w:rsidRPr="00EC7917">
              <w:rPr>
                <w:rFonts w:ascii="Arial" w:hAnsi="Arial" w:cs="Arial"/>
                <w:sz w:val="20"/>
                <w:szCs w:val="20"/>
                <w:lang w:eastAsia="en-AU"/>
              </w:rPr>
              <w:t>Ca</w:t>
            </w:r>
          </w:p>
        </w:tc>
        <w:tc>
          <w:tcPr>
            <w:tcW w:w="775" w:type="dxa"/>
          </w:tcPr>
          <w:p w:rsidR="00F57A62" w:rsidRPr="00EC7917" w:rsidRDefault="00EC7917" w:rsidP="00F57A62">
            <w:pPr>
              <w:cnfStyle w:val="100000000000"/>
              <w:rPr>
                <w:rFonts w:ascii="Arial" w:hAnsi="Arial" w:cs="Arial"/>
                <w:sz w:val="20"/>
                <w:szCs w:val="20"/>
                <w:lang w:eastAsia="en-AU"/>
              </w:rPr>
            </w:pPr>
            <w:r w:rsidRPr="00EC7917">
              <w:rPr>
                <w:rFonts w:ascii="Arial" w:hAnsi="Arial" w:cs="Arial"/>
                <w:sz w:val="20"/>
                <w:szCs w:val="20"/>
                <w:lang w:eastAsia="en-AU"/>
              </w:rPr>
              <w:t>Mg</w:t>
            </w:r>
          </w:p>
        </w:tc>
        <w:tc>
          <w:tcPr>
            <w:tcW w:w="775" w:type="dxa"/>
          </w:tcPr>
          <w:p w:rsidR="00F57A62" w:rsidRPr="00EC7917" w:rsidRDefault="00EC7917" w:rsidP="00F57A62">
            <w:pPr>
              <w:cnfStyle w:val="100000000000"/>
              <w:rPr>
                <w:rFonts w:ascii="Arial" w:hAnsi="Arial" w:cs="Arial"/>
                <w:sz w:val="20"/>
                <w:szCs w:val="20"/>
                <w:lang w:eastAsia="en-AU"/>
              </w:rPr>
            </w:pPr>
            <w:r w:rsidRPr="00EC7917">
              <w:rPr>
                <w:rFonts w:ascii="Arial" w:hAnsi="Arial" w:cs="Arial"/>
                <w:sz w:val="20"/>
                <w:szCs w:val="20"/>
                <w:lang w:eastAsia="en-AU"/>
              </w:rPr>
              <w:t>S</w:t>
            </w:r>
          </w:p>
        </w:tc>
        <w:tc>
          <w:tcPr>
            <w:tcW w:w="775" w:type="dxa"/>
          </w:tcPr>
          <w:p w:rsidR="00F57A62" w:rsidRPr="00EC7917" w:rsidRDefault="00EC7917" w:rsidP="00F57A62">
            <w:pPr>
              <w:cnfStyle w:val="100000000000"/>
              <w:rPr>
                <w:rFonts w:ascii="Arial" w:hAnsi="Arial" w:cs="Arial"/>
                <w:sz w:val="20"/>
                <w:szCs w:val="20"/>
                <w:lang w:eastAsia="en-AU"/>
              </w:rPr>
            </w:pPr>
            <w:r w:rsidRPr="00EC7917">
              <w:rPr>
                <w:rFonts w:ascii="Arial" w:hAnsi="Arial" w:cs="Arial"/>
                <w:sz w:val="20"/>
                <w:szCs w:val="20"/>
                <w:lang w:eastAsia="en-AU"/>
              </w:rPr>
              <w:t>N %</w:t>
            </w:r>
          </w:p>
        </w:tc>
        <w:tc>
          <w:tcPr>
            <w:tcW w:w="775" w:type="dxa"/>
          </w:tcPr>
          <w:p w:rsidR="00F57A62" w:rsidRPr="00EC7917" w:rsidRDefault="00EC7917" w:rsidP="00F57A62">
            <w:pPr>
              <w:cnfStyle w:val="100000000000"/>
              <w:rPr>
                <w:rFonts w:ascii="Arial" w:hAnsi="Arial" w:cs="Arial"/>
                <w:sz w:val="20"/>
                <w:szCs w:val="20"/>
                <w:lang w:eastAsia="en-AU"/>
              </w:rPr>
            </w:pPr>
            <w:r w:rsidRPr="00EC7917">
              <w:rPr>
                <w:rFonts w:ascii="Arial" w:hAnsi="Arial" w:cs="Arial"/>
                <w:sz w:val="20"/>
                <w:szCs w:val="20"/>
                <w:lang w:eastAsia="en-AU"/>
              </w:rPr>
              <w:t>Se</w:t>
            </w:r>
          </w:p>
        </w:tc>
        <w:tc>
          <w:tcPr>
            <w:tcW w:w="775" w:type="dxa"/>
          </w:tcPr>
          <w:p w:rsidR="00F57A62" w:rsidRPr="00EC7917" w:rsidRDefault="00EC7917" w:rsidP="00F57A62">
            <w:pPr>
              <w:cnfStyle w:val="100000000000"/>
              <w:rPr>
                <w:rFonts w:ascii="Arial" w:hAnsi="Arial" w:cs="Arial"/>
                <w:sz w:val="20"/>
                <w:szCs w:val="20"/>
                <w:lang w:eastAsia="en-AU"/>
              </w:rPr>
            </w:pPr>
            <w:proofErr w:type="spellStart"/>
            <w:r w:rsidRPr="00EC7917">
              <w:rPr>
                <w:rFonts w:ascii="Arial" w:hAnsi="Arial" w:cs="Arial"/>
                <w:sz w:val="20"/>
                <w:szCs w:val="20"/>
                <w:lang w:eastAsia="en-AU"/>
              </w:rPr>
              <w:t>Lutein</w:t>
            </w:r>
            <w:proofErr w:type="spellEnd"/>
          </w:p>
        </w:tc>
        <w:tc>
          <w:tcPr>
            <w:tcW w:w="775" w:type="dxa"/>
          </w:tcPr>
          <w:p w:rsidR="00F57A62" w:rsidRPr="00EC7917" w:rsidRDefault="00EC7917" w:rsidP="00F57A62">
            <w:pPr>
              <w:cnfStyle w:val="100000000000"/>
              <w:rPr>
                <w:rFonts w:ascii="Arial" w:hAnsi="Arial" w:cs="Arial"/>
                <w:sz w:val="20"/>
                <w:szCs w:val="20"/>
                <w:lang w:eastAsia="en-AU"/>
              </w:rPr>
            </w:pPr>
            <w:r w:rsidRPr="00EC7917">
              <w:rPr>
                <w:rFonts w:ascii="Arial" w:hAnsi="Arial" w:cs="Arial"/>
                <w:sz w:val="20"/>
                <w:szCs w:val="20"/>
                <w:lang w:eastAsia="en-AU"/>
              </w:rPr>
              <w:t>Beta-carotene</w:t>
            </w:r>
          </w:p>
        </w:tc>
        <w:tc>
          <w:tcPr>
            <w:tcW w:w="775" w:type="dxa"/>
          </w:tcPr>
          <w:p w:rsidR="00F57A62" w:rsidRPr="00EC7917" w:rsidRDefault="00EC7917" w:rsidP="00F57A62">
            <w:pPr>
              <w:cnfStyle w:val="100000000000"/>
              <w:rPr>
                <w:rFonts w:ascii="Arial" w:hAnsi="Arial" w:cs="Arial"/>
                <w:sz w:val="20"/>
                <w:szCs w:val="20"/>
                <w:lang w:eastAsia="en-AU"/>
              </w:rPr>
            </w:pPr>
            <w:r w:rsidRPr="00EC7917">
              <w:rPr>
                <w:rFonts w:ascii="Arial" w:hAnsi="Arial" w:cs="Arial"/>
                <w:sz w:val="20"/>
                <w:szCs w:val="20"/>
                <w:lang w:eastAsia="en-AU"/>
              </w:rPr>
              <w:t>Alpha-carotene</w:t>
            </w:r>
          </w:p>
        </w:tc>
      </w:tr>
      <w:tr w:rsidR="00EC7917" w:rsidTr="00EF3898">
        <w:tc>
          <w:tcPr>
            <w:cnfStyle w:val="001000000000"/>
            <w:tcW w:w="774" w:type="dxa"/>
          </w:tcPr>
          <w:p w:rsidR="00F57A62" w:rsidRPr="00EC7917" w:rsidRDefault="00EC7917" w:rsidP="00F57A62">
            <w:pPr>
              <w:rPr>
                <w:rFonts w:ascii="Arial" w:hAnsi="Arial" w:cs="Arial"/>
                <w:b/>
                <w:sz w:val="20"/>
                <w:szCs w:val="20"/>
                <w:lang w:eastAsia="en-AU"/>
              </w:rPr>
            </w:pPr>
            <w:r w:rsidRPr="00EC7917">
              <w:rPr>
                <w:rFonts w:ascii="Arial" w:hAnsi="Arial" w:cs="Arial"/>
                <w:b/>
                <w:sz w:val="20"/>
                <w:szCs w:val="20"/>
                <w:lang w:eastAsia="en-AU"/>
              </w:rPr>
              <w:t>Drumstick</w:t>
            </w:r>
          </w:p>
        </w:tc>
        <w:tc>
          <w:tcPr>
            <w:tcW w:w="774" w:type="dxa"/>
          </w:tcPr>
          <w:p w:rsidR="00F57A62" w:rsidRPr="00EC7917" w:rsidRDefault="00EC7917" w:rsidP="00F57A62">
            <w:pPr>
              <w:cnfStyle w:val="000000000000"/>
              <w:rPr>
                <w:rFonts w:ascii="Arial" w:hAnsi="Arial" w:cs="Arial"/>
                <w:b/>
                <w:sz w:val="20"/>
                <w:szCs w:val="20"/>
                <w:lang w:eastAsia="en-AU"/>
              </w:rPr>
            </w:pPr>
            <w:r w:rsidRPr="00EC7917">
              <w:rPr>
                <w:rFonts w:ascii="Arial" w:hAnsi="Arial" w:cs="Arial"/>
                <w:b/>
                <w:sz w:val="20"/>
                <w:szCs w:val="20"/>
                <w:lang w:eastAsia="en-AU"/>
              </w:rPr>
              <w:t>7</w:t>
            </w:r>
          </w:p>
        </w:tc>
        <w:tc>
          <w:tcPr>
            <w:tcW w:w="774" w:type="dxa"/>
          </w:tcPr>
          <w:p w:rsidR="00F57A62" w:rsidRPr="00EC7917" w:rsidRDefault="00EC7917" w:rsidP="00F57A62">
            <w:pPr>
              <w:cnfStyle w:val="000000000000"/>
              <w:rPr>
                <w:rFonts w:ascii="Arial" w:hAnsi="Arial" w:cs="Arial"/>
                <w:b/>
                <w:sz w:val="20"/>
                <w:szCs w:val="20"/>
                <w:lang w:eastAsia="en-AU"/>
              </w:rPr>
            </w:pPr>
            <w:r w:rsidRPr="00EC7917">
              <w:rPr>
                <w:rFonts w:ascii="Arial" w:hAnsi="Arial" w:cs="Arial"/>
                <w:b/>
                <w:sz w:val="20"/>
                <w:szCs w:val="20"/>
                <w:lang w:eastAsia="en-AU"/>
              </w:rPr>
              <w:t>31</w:t>
            </w:r>
          </w:p>
        </w:tc>
        <w:tc>
          <w:tcPr>
            <w:tcW w:w="775" w:type="dxa"/>
          </w:tcPr>
          <w:p w:rsidR="00F57A62" w:rsidRPr="00EC7917" w:rsidRDefault="00EC7917" w:rsidP="00F57A62">
            <w:pPr>
              <w:cnfStyle w:val="000000000000"/>
              <w:rPr>
                <w:rFonts w:ascii="Arial" w:hAnsi="Arial" w:cs="Arial"/>
                <w:b/>
                <w:sz w:val="20"/>
                <w:szCs w:val="20"/>
                <w:lang w:eastAsia="en-AU"/>
              </w:rPr>
            </w:pPr>
            <w:r w:rsidRPr="00EC7917">
              <w:rPr>
                <w:rFonts w:ascii="Arial" w:hAnsi="Arial" w:cs="Arial"/>
                <w:b/>
                <w:sz w:val="20"/>
                <w:szCs w:val="20"/>
                <w:lang w:eastAsia="en-AU"/>
              </w:rPr>
              <w:t>20000</w:t>
            </w:r>
          </w:p>
        </w:tc>
        <w:tc>
          <w:tcPr>
            <w:tcW w:w="775" w:type="dxa"/>
          </w:tcPr>
          <w:p w:rsidR="00F57A62" w:rsidRPr="00EC7917" w:rsidRDefault="00EC7917" w:rsidP="00F57A62">
            <w:pPr>
              <w:cnfStyle w:val="000000000000"/>
              <w:rPr>
                <w:rFonts w:ascii="Arial" w:hAnsi="Arial" w:cs="Arial"/>
                <w:b/>
                <w:sz w:val="20"/>
                <w:szCs w:val="20"/>
                <w:lang w:eastAsia="en-AU"/>
              </w:rPr>
            </w:pPr>
            <w:r w:rsidRPr="00EC7917">
              <w:rPr>
                <w:rFonts w:ascii="Arial" w:hAnsi="Arial" w:cs="Arial"/>
                <w:b/>
                <w:sz w:val="20"/>
                <w:szCs w:val="20"/>
                <w:lang w:eastAsia="en-AU"/>
              </w:rPr>
              <w:t>3700</w:t>
            </w:r>
          </w:p>
        </w:tc>
        <w:tc>
          <w:tcPr>
            <w:tcW w:w="775" w:type="dxa"/>
          </w:tcPr>
          <w:p w:rsidR="00F57A62" w:rsidRPr="00EC7917" w:rsidRDefault="00EC7917" w:rsidP="00F57A62">
            <w:pPr>
              <w:cnfStyle w:val="000000000000"/>
              <w:rPr>
                <w:rFonts w:ascii="Arial" w:hAnsi="Arial" w:cs="Arial"/>
                <w:b/>
                <w:sz w:val="20"/>
                <w:szCs w:val="20"/>
                <w:lang w:eastAsia="en-AU"/>
              </w:rPr>
            </w:pPr>
            <w:r w:rsidRPr="00EC7917">
              <w:rPr>
                <w:rFonts w:ascii="Arial" w:hAnsi="Arial" w:cs="Arial"/>
                <w:b/>
                <w:sz w:val="20"/>
                <w:szCs w:val="20"/>
                <w:lang w:eastAsia="en-AU"/>
              </w:rPr>
              <w:t>12300</w:t>
            </w:r>
          </w:p>
        </w:tc>
        <w:tc>
          <w:tcPr>
            <w:tcW w:w="775" w:type="dxa"/>
          </w:tcPr>
          <w:p w:rsidR="00F57A62" w:rsidRPr="00EC7917" w:rsidRDefault="00EC7917" w:rsidP="00F57A62">
            <w:pPr>
              <w:cnfStyle w:val="000000000000"/>
              <w:rPr>
                <w:rFonts w:ascii="Arial" w:hAnsi="Arial" w:cs="Arial"/>
                <w:b/>
                <w:sz w:val="20"/>
                <w:szCs w:val="20"/>
                <w:lang w:eastAsia="en-AU"/>
              </w:rPr>
            </w:pPr>
            <w:r w:rsidRPr="00EC7917">
              <w:rPr>
                <w:rFonts w:ascii="Arial" w:hAnsi="Arial" w:cs="Arial"/>
                <w:b/>
                <w:sz w:val="20"/>
                <w:szCs w:val="20"/>
                <w:lang w:eastAsia="en-AU"/>
              </w:rPr>
              <w:t>5.1</w:t>
            </w:r>
          </w:p>
        </w:tc>
        <w:tc>
          <w:tcPr>
            <w:tcW w:w="775" w:type="dxa"/>
          </w:tcPr>
          <w:p w:rsidR="00F57A62" w:rsidRPr="00EC7917" w:rsidRDefault="00EC7917" w:rsidP="00F57A62">
            <w:pPr>
              <w:cnfStyle w:val="000000000000"/>
              <w:rPr>
                <w:rFonts w:ascii="Arial" w:hAnsi="Arial" w:cs="Arial"/>
                <w:b/>
                <w:sz w:val="20"/>
                <w:szCs w:val="20"/>
                <w:lang w:eastAsia="en-AU"/>
              </w:rPr>
            </w:pPr>
            <w:r w:rsidRPr="00EC7917">
              <w:rPr>
                <w:rFonts w:ascii="Arial" w:hAnsi="Arial" w:cs="Arial"/>
                <w:b/>
                <w:sz w:val="20"/>
                <w:szCs w:val="20"/>
                <w:lang w:eastAsia="en-AU"/>
              </w:rPr>
              <w:t>2.0</w:t>
            </w:r>
          </w:p>
        </w:tc>
        <w:tc>
          <w:tcPr>
            <w:tcW w:w="775" w:type="dxa"/>
          </w:tcPr>
          <w:p w:rsidR="00F57A62" w:rsidRPr="00EC7917" w:rsidRDefault="00EC7917" w:rsidP="00F57A62">
            <w:pPr>
              <w:cnfStyle w:val="000000000000"/>
              <w:rPr>
                <w:rFonts w:ascii="Arial" w:hAnsi="Arial" w:cs="Arial"/>
                <w:b/>
                <w:sz w:val="20"/>
                <w:szCs w:val="20"/>
                <w:lang w:eastAsia="en-AU"/>
              </w:rPr>
            </w:pPr>
            <w:r w:rsidRPr="00EC7917">
              <w:rPr>
                <w:rFonts w:ascii="Arial" w:hAnsi="Arial" w:cs="Arial"/>
                <w:b/>
                <w:sz w:val="20"/>
                <w:szCs w:val="20"/>
                <w:lang w:eastAsia="en-AU"/>
              </w:rPr>
              <w:t>773</w:t>
            </w:r>
          </w:p>
        </w:tc>
        <w:tc>
          <w:tcPr>
            <w:tcW w:w="775" w:type="dxa"/>
          </w:tcPr>
          <w:p w:rsidR="00F57A62" w:rsidRPr="00EC7917" w:rsidRDefault="00EC7917" w:rsidP="00F57A62">
            <w:pPr>
              <w:cnfStyle w:val="000000000000"/>
              <w:rPr>
                <w:rFonts w:ascii="Arial" w:hAnsi="Arial" w:cs="Arial"/>
                <w:b/>
                <w:sz w:val="20"/>
                <w:szCs w:val="20"/>
                <w:lang w:eastAsia="en-AU"/>
              </w:rPr>
            </w:pPr>
            <w:r w:rsidRPr="00EC7917">
              <w:rPr>
                <w:rFonts w:ascii="Arial" w:hAnsi="Arial" w:cs="Arial"/>
                <w:b/>
                <w:sz w:val="20"/>
                <w:szCs w:val="20"/>
                <w:lang w:eastAsia="en-AU"/>
              </w:rPr>
              <w:t>427</w:t>
            </w:r>
          </w:p>
        </w:tc>
        <w:tc>
          <w:tcPr>
            <w:tcW w:w="775" w:type="dxa"/>
          </w:tcPr>
          <w:p w:rsidR="00F57A62" w:rsidRPr="00EC7917" w:rsidRDefault="00EC7917" w:rsidP="00F57A62">
            <w:pPr>
              <w:cnfStyle w:val="000000000000"/>
              <w:rPr>
                <w:rFonts w:ascii="Arial" w:hAnsi="Arial" w:cs="Arial"/>
                <w:b/>
                <w:sz w:val="20"/>
                <w:szCs w:val="20"/>
                <w:lang w:eastAsia="en-AU"/>
              </w:rPr>
            </w:pPr>
            <w:r w:rsidRPr="00EC7917">
              <w:rPr>
                <w:rFonts w:ascii="Arial" w:hAnsi="Arial" w:cs="Arial"/>
                <w:b/>
                <w:sz w:val="20"/>
                <w:szCs w:val="20"/>
                <w:lang w:eastAsia="en-AU"/>
              </w:rPr>
              <w:t>0</w:t>
            </w:r>
          </w:p>
        </w:tc>
      </w:tr>
      <w:tr w:rsidR="00EC7917" w:rsidTr="00EF3898">
        <w:tc>
          <w:tcPr>
            <w:cnfStyle w:val="001000000000"/>
            <w:tcW w:w="774" w:type="dxa"/>
          </w:tcPr>
          <w:p w:rsidR="00F57A62" w:rsidRPr="00EC7917" w:rsidRDefault="00EC7917" w:rsidP="00F57A62">
            <w:pPr>
              <w:rPr>
                <w:rFonts w:ascii="Arial" w:hAnsi="Arial" w:cs="Arial"/>
                <w:sz w:val="20"/>
                <w:szCs w:val="20"/>
                <w:lang w:eastAsia="en-AU"/>
              </w:rPr>
            </w:pPr>
            <w:proofErr w:type="spellStart"/>
            <w:r w:rsidRPr="00EC7917">
              <w:rPr>
                <w:rFonts w:ascii="Arial" w:hAnsi="Arial" w:cs="Arial"/>
                <w:sz w:val="20"/>
                <w:szCs w:val="20"/>
                <w:lang w:eastAsia="en-AU"/>
              </w:rPr>
              <w:t>Aibika</w:t>
            </w:r>
            <w:proofErr w:type="spellEnd"/>
          </w:p>
        </w:tc>
        <w:tc>
          <w:tcPr>
            <w:tcW w:w="774" w:type="dxa"/>
          </w:tcPr>
          <w:p w:rsidR="00F57A62" w:rsidRPr="00EC7917" w:rsidRDefault="00EC7917" w:rsidP="00F57A62">
            <w:pPr>
              <w:cnfStyle w:val="000000000000"/>
              <w:rPr>
                <w:rFonts w:ascii="Arial" w:hAnsi="Arial" w:cs="Arial"/>
                <w:sz w:val="20"/>
                <w:szCs w:val="20"/>
                <w:lang w:eastAsia="en-AU"/>
              </w:rPr>
            </w:pPr>
            <w:r>
              <w:rPr>
                <w:rFonts w:ascii="Arial" w:hAnsi="Arial" w:cs="Arial"/>
                <w:sz w:val="20"/>
                <w:szCs w:val="20"/>
                <w:lang w:eastAsia="en-AU"/>
              </w:rPr>
              <w:t>8</w:t>
            </w:r>
          </w:p>
        </w:tc>
        <w:tc>
          <w:tcPr>
            <w:tcW w:w="774" w:type="dxa"/>
          </w:tcPr>
          <w:p w:rsidR="00F57A62" w:rsidRPr="00EC7917" w:rsidRDefault="00EC7917" w:rsidP="00F57A62">
            <w:pPr>
              <w:cnfStyle w:val="000000000000"/>
              <w:rPr>
                <w:rFonts w:ascii="Arial" w:hAnsi="Arial" w:cs="Arial"/>
                <w:sz w:val="20"/>
                <w:szCs w:val="20"/>
                <w:lang w:eastAsia="en-AU"/>
              </w:rPr>
            </w:pPr>
            <w:r>
              <w:rPr>
                <w:rFonts w:ascii="Arial" w:hAnsi="Arial" w:cs="Arial"/>
                <w:sz w:val="20"/>
                <w:szCs w:val="20"/>
                <w:lang w:eastAsia="en-AU"/>
              </w:rPr>
              <w:t>44</w:t>
            </w:r>
          </w:p>
        </w:tc>
        <w:tc>
          <w:tcPr>
            <w:tcW w:w="775" w:type="dxa"/>
          </w:tcPr>
          <w:p w:rsidR="00F57A62" w:rsidRPr="00EC7917" w:rsidRDefault="00EC7917" w:rsidP="00F57A62">
            <w:pPr>
              <w:cnfStyle w:val="000000000000"/>
              <w:rPr>
                <w:rFonts w:ascii="Arial" w:hAnsi="Arial" w:cs="Arial"/>
                <w:sz w:val="20"/>
                <w:szCs w:val="20"/>
                <w:lang w:eastAsia="en-AU"/>
              </w:rPr>
            </w:pPr>
            <w:r>
              <w:rPr>
                <w:rFonts w:ascii="Arial" w:hAnsi="Arial" w:cs="Arial"/>
                <w:sz w:val="20"/>
                <w:szCs w:val="20"/>
                <w:lang w:eastAsia="en-AU"/>
              </w:rPr>
              <w:t>23600</w:t>
            </w:r>
          </w:p>
        </w:tc>
        <w:tc>
          <w:tcPr>
            <w:tcW w:w="775" w:type="dxa"/>
          </w:tcPr>
          <w:p w:rsidR="00F57A62" w:rsidRPr="00EC7917" w:rsidRDefault="00EC7917" w:rsidP="00F57A62">
            <w:pPr>
              <w:cnfStyle w:val="000000000000"/>
              <w:rPr>
                <w:rFonts w:ascii="Arial" w:hAnsi="Arial" w:cs="Arial"/>
                <w:sz w:val="20"/>
                <w:szCs w:val="20"/>
                <w:lang w:eastAsia="en-AU"/>
              </w:rPr>
            </w:pPr>
            <w:r>
              <w:rPr>
                <w:rFonts w:ascii="Arial" w:hAnsi="Arial" w:cs="Arial"/>
                <w:sz w:val="20"/>
                <w:szCs w:val="20"/>
                <w:lang w:eastAsia="en-AU"/>
              </w:rPr>
              <w:t>7100</w:t>
            </w:r>
          </w:p>
        </w:tc>
        <w:tc>
          <w:tcPr>
            <w:tcW w:w="775" w:type="dxa"/>
          </w:tcPr>
          <w:p w:rsidR="00F57A62" w:rsidRPr="00EC7917" w:rsidRDefault="00EC7917" w:rsidP="00F57A62">
            <w:pPr>
              <w:cnfStyle w:val="000000000000"/>
              <w:rPr>
                <w:rFonts w:ascii="Arial" w:hAnsi="Arial" w:cs="Arial"/>
                <w:sz w:val="20"/>
                <w:szCs w:val="20"/>
                <w:lang w:eastAsia="en-AU"/>
              </w:rPr>
            </w:pPr>
            <w:r>
              <w:rPr>
                <w:rFonts w:ascii="Arial" w:hAnsi="Arial" w:cs="Arial"/>
                <w:sz w:val="20"/>
                <w:szCs w:val="20"/>
                <w:lang w:eastAsia="en-AU"/>
              </w:rPr>
              <w:t>4500</w:t>
            </w:r>
          </w:p>
        </w:tc>
        <w:tc>
          <w:tcPr>
            <w:tcW w:w="775" w:type="dxa"/>
          </w:tcPr>
          <w:p w:rsidR="00F57A62" w:rsidRPr="00EC7917" w:rsidRDefault="00EC7917" w:rsidP="00F57A62">
            <w:pPr>
              <w:cnfStyle w:val="000000000000"/>
              <w:rPr>
                <w:rFonts w:ascii="Arial" w:hAnsi="Arial" w:cs="Arial"/>
                <w:sz w:val="20"/>
                <w:szCs w:val="20"/>
                <w:lang w:eastAsia="en-AU"/>
              </w:rPr>
            </w:pPr>
            <w:r>
              <w:rPr>
                <w:rFonts w:ascii="Arial" w:hAnsi="Arial" w:cs="Arial"/>
                <w:sz w:val="20"/>
                <w:szCs w:val="20"/>
                <w:lang w:eastAsia="en-AU"/>
              </w:rPr>
              <w:t>4.9</w:t>
            </w:r>
          </w:p>
        </w:tc>
        <w:tc>
          <w:tcPr>
            <w:tcW w:w="775" w:type="dxa"/>
          </w:tcPr>
          <w:p w:rsidR="00F57A62" w:rsidRPr="00EC7917" w:rsidRDefault="00EC7917" w:rsidP="00F57A62">
            <w:pPr>
              <w:cnfStyle w:val="000000000000"/>
              <w:rPr>
                <w:rFonts w:ascii="Arial" w:hAnsi="Arial" w:cs="Arial"/>
                <w:sz w:val="20"/>
                <w:szCs w:val="20"/>
                <w:lang w:eastAsia="en-AU"/>
              </w:rPr>
            </w:pPr>
            <w:r>
              <w:rPr>
                <w:rFonts w:ascii="Arial" w:hAnsi="Arial" w:cs="Arial"/>
                <w:sz w:val="20"/>
                <w:szCs w:val="20"/>
                <w:lang w:eastAsia="en-AU"/>
              </w:rPr>
              <w:t>0.17</w:t>
            </w:r>
          </w:p>
        </w:tc>
        <w:tc>
          <w:tcPr>
            <w:tcW w:w="775" w:type="dxa"/>
          </w:tcPr>
          <w:p w:rsidR="00F57A62" w:rsidRPr="00EC7917" w:rsidRDefault="00EC7917" w:rsidP="00F57A62">
            <w:pPr>
              <w:cnfStyle w:val="000000000000"/>
              <w:rPr>
                <w:rFonts w:ascii="Arial" w:hAnsi="Arial" w:cs="Arial"/>
                <w:sz w:val="20"/>
                <w:szCs w:val="20"/>
                <w:lang w:eastAsia="en-AU"/>
              </w:rPr>
            </w:pPr>
            <w:r>
              <w:rPr>
                <w:rFonts w:ascii="Arial" w:hAnsi="Arial" w:cs="Arial"/>
                <w:sz w:val="20"/>
                <w:szCs w:val="20"/>
                <w:lang w:eastAsia="en-AU"/>
              </w:rPr>
              <w:t>1006</w:t>
            </w:r>
          </w:p>
        </w:tc>
        <w:tc>
          <w:tcPr>
            <w:tcW w:w="775" w:type="dxa"/>
          </w:tcPr>
          <w:p w:rsidR="00F57A62" w:rsidRPr="00EC7917" w:rsidRDefault="00EC7917" w:rsidP="00F57A62">
            <w:pPr>
              <w:cnfStyle w:val="000000000000"/>
              <w:rPr>
                <w:rFonts w:ascii="Arial" w:hAnsi="Arial" w:cs="Arial"/>
                <w:sz w:val="20"/>
                <w:szCs w:val="20"/>
                <w:lang w:eastAsia="en-AU"/>
              </w:rPr>
            </w:pPr>
            <w:r>
              <w:rPr>
                <w:rFonts w:ascii="Arial" w:hAnsi="Arial" w:cs="Arial"/>
                <w:sz w:val="20"/>
                <w:szCs w:val="20"/>
                <w:lang w:eastAsia="en-AU"/>
              </w:rPr>
              <w:t>338</w:t>
            </w:r>
          </w:p>
        </w:tc>
        <w:tc>
          <w:tcPr>
            <w:tcW w:w="775" w:type="dxa"/>
          </w:tcPr>
          <w:p w:rsidR="00F57A62" w:rsidRPr="00EC7917" w:rsidRDefault="00EC7917" w:rsidP="00F57A62">
            <w:pPr>
              <w:cnfStyle w:val="000000000000"/>
              <w:rPr>
                <w:rFonts w:ascii="Arial" w:hAnsi="Arial" w:cs="Arial"/>
                <w:sz w:val="20"/>
                <w:szCs w:val="20"/>
                <w:lang w:eastAsia="en-AU"/>
              </w:rPr>
            </w:pPr>
            <w:r>
              <w:rPr>
                <w:rFonts w:ascii="Arial" w:hAnsi="Arial" w:cs="Arial"/>
                <w:sz w:val="20"/>
                <w:szCs w:val="20"/>
                <w:lang w:eastAsia="en-AU"/>
              </w:rPr>
              <w:t>31</w:t>
            </w:r>
          </w:p>
        </w:tc>
      </w:tr>
      <w:tr w:rsidR="00EC7917" w:rsidTr="00EF3898">
        <w:tc>
          <w:tcPr>
            <w:cnfStyle w:val="001000000000"/>
            <w:tcW w:w="774" w:type="dxa"/>
          </w:tcPr>
          <w:p w:rsidR="00F57A62" w:rsidRPr="00EC7917" w:rsidRDefault="00EC7917" w:rsidP="00F57A62">
            <w:pPr>
              <w:rPr>
                <w:rFonts w:ascii="Arial" w:hAnsi="Arial" w:cs="Arial"/>
                <w:sz w:val="20"/>
                <w:szCs w:val="20"/>
                <w:lang w:eastAsia="en-AU"/>
              </w:rPr>
            </w:pPr>
            <w:r w:rsidRPr="00EC7917">
              <w:rPr>
                <w:rFonts w:ascii="Arial" w:hAnsi="Arial" w:cs="Arial"/>
                <w:sz w:val="20"/>
                <w:szCs w:val="20"/>
                <w:lang w:eastAsia="en-AU"/>
              </w:rPr>
              <w:t>Cabbage</w:t>
            </w:r>
          </w:p>
        </w:tc>
        <w:tc>
          <w:tcPr>
            <w:tcW w:w="774" w:type="dxa"/>
          </w:tcPr>
          <w:p w:rsidR="00F57A62" w:rsidRPr="00EC7917" w:rsidRDefault="00EC7917" w:rsidP="00F57A62">
            <w:pPr>
              <w:cnfStyle w:val="000000000000"/>
              <w:rPr>
                <w:rFonts w:ascii="Arial" w:hAnsi="Arial" w:cs="Arial"/>
                <w:sz w:val="20"/>
                <w:szCs w:val="20"/>
                <w:lang w:eastAsia="en-AU"/>
              </w:rPr>
            </w:pPr>
            <w:r>
              <w:rPr>
                <w:rFonts w:ascii="Arial" w:hAnsi="Arial" w:cs="Arial"/>
                <w:sz w:val="20"/>
                <w:szCs w:val="20"/>
                <w:lang w:eastAsia="en-AU"/>
              </w:rPr>
              <w:t>2</w:t>
            </w:r>
          </w:p>
        </w:tc>
        <w:tc>
          <w:tcPr>
            <w:tcW w:w="774" w:type="dxa"/>
          </w:tcPr>
          <w:p w:rsidR="00F57A62" w:rsidRPr="00EC7917" w:rsidRDefault="00EC7917" w:rsidP="00F57A62">
            <w:pPr>
              <w:cnfStyle w:val="000000000000"/>
              <w:rPr>
                <w:rFonts w:ascii="Arial" w:hAnsi="Arial" w:cs="Arial"/>
                <w:sz w:val="20"/>
                <w:szCs w:val="20"/>
                <w:lang w:eastAsia="en-AU"/>
              </w:rPr>
            </w:pPr>
            <w:r>
              <w:rPr>
                <w:rFonts w:ascii="Arial" w:hAnsi="Arial" w:cs="Arial"/>
                <w:sz w:val="20"/>
                <w:szCs w:val="20"/>
                <w:lang w:eastAsia="en-AU"/>
              </w:rPr>
              <w:t>20</w:t>
            </w:r>
          </w:p>
        </w:tc>
        <w:tc>
          <w:tcPr>
            <w:tcW w:w="775" w:type="dxa"/>
          </w:tcPr>
          <w:p w:rsidR="00F57A62" w:rsidRPr="00EC7917" w:rsidRDefault="00EC7917" w:rsidP="00F57A62">
            <w:pPr>
              <w:cnfStyle w:val="000000000000"/>
              <w:rPr>
                <w:rFonts w:ascii="Arial" w:hAnsi="Arial" w:cs="Arial"/>
                <w:sz w:val="20"/>
                <w:szCs w:val="20"/>
                <w:lang w:eastAsia="en-AU"/>
              </w:rPr>
            </w:pPr>
            <w:r>
              <w:rPr>
                <w:rFonts w:ascii="Arial" w:hAnsi="Arial" w:cs="Arial"/>
                <w:sz w:val="20"/>
                <w:szCs w:val="20"/>
                <w:lang w:eastAsia="en-AU"/>
              </w:rPr>
              <w:t>5700</w:t>
            </w:r>
          </w:p>
        </w:tc>
        <w:tc>
          <w:tcPr>
            <w:tcW w:w="775" w:type="dxa"/>
          </w:tcPr>
          <w:p w:rsidR="00F57A62" w:rsidRPr="00EC7917" w:rsidRDefault="00EC7917" w:rsidP="00F57A62">
            <w:pPr>
              <w:cnfStyle w:val="000000000000"/>
              <w:rPr>
                <w:rFonts w:ascii="Arial" w:hAnsi="Arial" w:cs="Arial"/>
                <w:sz w:val="20"/>
                <w:szCs w:val="20"/>
                <w:lang w:eastAsia="en-AU"/>
              </w:rPr>
            </w:pPr>
            <w:r>
              <w:rPr>
                <w:rFonts w:ascii="Arial" w:hAnsi="Arial" w:cs="Arial"/>
                <w:sz w:val="20"/>
                <w:szCs w:val="20"/>
                <w:lang w:eastAsia="en-AU"/>
              </w:rPr>
              <w:t>1450</w:t>
            </w:r>
          </w:p>
        </w:tc>
        <w:tc>
          <w:tcPr>
            <w:tcW w:w="775" w:type="dxa"/>
          </w:tcPr>
          <w:p w:rsidR="00F57A62" w:rsidRPr="00EC7917" w:rsidRDefault="00EC7917" w:rsidP="00F57A62">
            <w:pPr>
              <w:cnfStyle w:val="000000000000"/>
              <w:rPr>
                <w:rFonts w:ascii="Arial" w:hAnsi="Arial" w:cs="Arial"/>
                <w:sz w:val="20"/>
                <w:szCs w:val="20"/>
                <w:lang w:eastAsia="en-AU"/>
              </w:rPr>
            </w:pPr>
            <w:r>
              <w:rPr>
                <w:rFonts w:ascii="Arial" w:hAnsi="Arial" w:cs="Arial"/>
                <w:sz w:val="20"/>
                <w:szCs w:val="20"/>
                <w:lang w:eastAsia="en-AU"/>
              </w:rPr>
              <w:t>5900</w:t>
            </w:r>
          </w:p>
        </w:tc>
        <w:tc>
          <w:tcPr>
            <w:tcW w:w="775" w:type="dxa"/>
          </w:tcPr>
          <w:p w:rsidR="00F57A62" w:rsidRPr="00EC7917" w:rsidRDefault="00EC7917" w:rsidP="00F57A62">
            <w:pPr>
              <w:cnfStyle w:val="000000000000"/>
              <w:rPr>
                <w:rFonts w:ascii="Arial" w:hAnsi="Arial" w:cs="Arial"/>
                <w:sz w:val="20"/>
                <w:szCs w:val="20"/>
                <w:lang w:eastAsia="en-AU"/>
              </w:rPr>
            </w:pPr>
            <w:r>
              <w:rPr>
                <w:rFonts w:ascii="Arial" w:hAnsi="Arial" w:cs="Arial"/>
                <w:sz w:val="20"/>
                <w:szCs w:val="20"/>
                <w:lang w:eastAsia="en-AU"/>
              </w:rPr>
              <w:t>2.8</w:t>
            </w:r>
          </w:p>
        </w:tc>
        <w:tc>
          <w:tcPr>
            <w:tcW w:w="775" w:type="dxa"/>
          </w:tcPr>
          <w:p w:rsidR="00F57A62" w:rsidRPr="00EC7917" w:rsidRDefault="00EC7917" w:rsidP="00F57A62">
            <w:pPr>
              <w:cnfStyle w:val="000000000000"/>
              <w:rPr>
                <w:rFonts w:ascii="Arial" w:hAnsi="Arial" w:cs="Arial"/>
                <w:sz w:val="20"/>
                <w:szCs w:val="20"/>
                <w:lang w:eastAsia="en-AU"/>
              </w:rPr>
            </w:pPr>
            <w:proofErr w:type="spellStart"/>
            <w:r>
              <w:rPr>
                <w:rFonts w:ascii="Arial" w:hAnsi="Arial" w:cs="Arial"/>
                <w:sz w:val="20"/>
                <w:szCs w:val="20"/>
                <w:lang w:eastAsia="en-AU"/>
              </w:rPr>
              <w:t>na</w:t>
            </w:r>
            <w:proofErr w:type="spellEnd"/>
          </w:p>
        </w:tc>
        <w:tc>
          <w:tcPr>
            <w:tcW w:w="775" w:type="dxa"/>
          </w:tcPr>
          <w:p w:rsidR="00F57A62" w:rsidRPr="00EC7917" w:rsidRDefault="00EC7917" w:rsidP="00F57A62">
            <w:pPr>
              <w:cnfStyle w:val="000000000000"/>
              <w:rPr>
                <w:rFonts w:ascii="Arial" w:hAnsi="Arial" w:cs="Arial"/>
                <w:sz w:val="20"/>
                <w:szCs w:val="20"/>
                <w:lang w:eastAsia="en-AU"/>
              </w:rPr>
            </w:pPr>
            <w:r>
              <w:rPr>
                <w:rFonts w:ascii="Arial" w:hAnsi="Arial" w:cs="Arial"/>
                <w:sz w:val="20"/>
                <w:szCs w:val="20"/>
                <w:lang w:eastAsia="en-AU"/>
              </w:rPr>
              <w:t>5</w:t>
            </w:r>
          </w:p>
        </w:tc>
        <w:tc>
          <w:tcPr>
            <w:tcW w:w="775" w:type="dxa"/>
          </w:tcPr>
          <w:p w:rsidR="00F57A62" w:rsidRPr="00EC7917" w:rsidRDefault="00EC7917" w:rsidP="00F57A62">
            <w:pPr>
              <w:cnfStyle w:val="000000000000"/>
              <w:rPr>
                <w:rFonts w:ascii="Arial" w:hAnsi="Arial" w:cs="Arial"/>
                <w:sz w:val="20"/>
                <w:szCs w:val="20"/>
                <w:lang w:eastAsia="en-AU"/>
              </w:rPr>
            </w:pPr>
            <w:r>
              <w:rPr>
                <w:rFonts w:ascii="Arial" w:hAnsi="Arial" w:cs="Arial"/>
                <w:sz w:val="20"/>
                <w:szCs w:val="20"/>
                <w:lang w:eastAsia="en-AU"/>
              </w:rPr>
              <w:t>2</w:t>
            </w:r>
          </w:p>
        </w:tc>
        <w:tc>
          <w:tcPr>
            <w:tcW w:w="775" w:type="dxa"/>
          </w:tcPr>
          <w:p w:rsidR="00F57A62" w:rsidRPr="00EC7917" w:rsidRDefault="00EC7917" w:rsidP="00F57A62">
            <w:pPr>
              <w:cnfStyle w:val="000000000000"/>
              <w:rPr>
                <w:rFonts w:ascii="Arial" w:hAnsi="Arial" w:cs="Arial"/>
                <w:sz w:val="20"/>
                <w:szCs w:val="20"/>
                <w:lang w:eastAsia="en-AU"/>
              </w:rPr>
            </w:pPr>
            <w:r>
              <w:rPr>
                <w:rFonts w:ascii="Arial" w:hAnsi="Arial" w:cs="Arial"/>
                <w:sz w:val="20"/>
                <w:szCs w:val="20"/>
                <w:lang w:eastAsia="en-AU"/>
              </w:rPr>
              <w:t>0</w:t>
            </w:r>
          </w:p>
        </w:tc>
      </w:tr>
    </w:tbl>
    <w:p w:rsidR="00F57A62" w:rsidRDefault="00F57A62" w:rsidP="00E82173">
      <w:pPr>
        <w:rPr>
          <w:rFonts w:ascii="Arial" w:hAnsi="Arial" w:cs="Arial"/>
          <w:lang w:eastAsia="en-AU"/>
        </w:rPr>
      </w:pPr>
    </w:p>
    <w:p w:rsidR="00691DDA" w:rsidRDefault="00691DDA" w:rsidP="00E82173">
      <w:pPr>
        <w:rPr>
          <w:rFonts w:ascii="Arial" w:hAnsi="Arial" w:cs="Arial"/>
          <w:lang w:eastAsia="en-AU"/>
        </w:rPr>
      </w:pPr>
      <w:r>
        <w:rPr>
          <w:rFonts w:ascii="Arial" w:hAnsi="Arial" w:cs="Arial"/>
          <w:lang w:eastAsia="en-AU"/>
        </w:rPr>
        <w:t xml:space="preserve">Furthermore, </w:t>
      </w:r>
      <w:proofErr w:type="spellStart"/>
      <w:r>
        <w:rPr>
          <w:rFonts w:ascii="Arial" w:hAnsi="Arial" w:cs="Arial"/>
          <w:lang w:eastAsia="en-AU"/>
        </w:rPr>
        <w:t>Moringa</w:t>
      </w:r>
      <w:proofErr w:type="spellEnd"/>
      <w:r>
        <w:rPr>
          <w:rFonts w:ascii="Arial" w:hAnsi="Arial" w:cs="Arial"/>
          <w:lang w:eastAsia="en-AU"/>
        </w:rPr>
        <w:t xml:space="preserve"> is drought-resistant and its new leaves appear at the end of the dry season when other greens are scarce</w:t>
      </w:r>
      <w:r w:rsidR="009C2A07">
        <w:rPr>
          <w:rFonts w:ascii="Arial" w:hAnsi="Arial" w:cs="Arial"/>
          <w:lang w:eastAsia="en-AU"/>
        </w:rPr>
        <w:t xml:space="preserve"> (Anwar et al, 2007</w:t>
      </w:r>
      <w:r w:rsidR="00E4479A">
        <w:rPr>
          <w:rFonts w:ascii="Arial" w:hAnsi="Arial" w:cs="Arial"/>
          <w:lang w:eastAsia="en-AU"/>
        </w:rPr>
        <w:t>)</w:t>
      </w:r>
      <w:r>
        <w:rPr>
          <w:rFonts w:ascii="Arial" w:hAnsi="Arial" w:cs="Arial"/>
          <w:lang w:eastAsia="en-AU"/>
        </w:rPr>
        <w:t xml:space="preserve">. The use of local resources like </w:t>
      </w:r>
      <w:proofErr w:type="spellStart"/>
      <w:r>
        <w:rPr>
          <w:rFonts w:ascii="Arial" w:hAnsi="Arial" w:cs="Arial"/>
          <w:lang w:eastAsia="en-AU"/>
        </w:rPr>
        <w:t>Moringa</w:t>
      </w:r>
      <w:proofErr w:type="spellEnd"/>
      <w:r>
        <w:rPr>
          <w:rFonts w:ascii="Arial" w:hAnsi="Arial" w:cs="Arial"/>
          <w:lang w:eastAsia="en-AU"/>
        </w:rPr>
        <w:t xml:space="preserve"> is critical to reduce the dependence of developing countries on imported goods and to improve nutrition in poor households. </w:t>
      </w:r>
      <w:proofErr w:type="spellStart"/>
      <w:r>
        <w:rPr>
          <w:rFonts w:ascii="Arial" w:hAnsi="Arial" w:cs="Arial"/>
          <w:lang w:eastAsia="en-AU"/>
        </w:rPr>
        <w:t>Moringa</w:t>
      </w:r>
      <w:proofErr w:type="spellEnd"/>
      <w:r>
        <w:rPr>
          <w:rFonts w:ascii="Arial" w:hAnsi="Arial" w:cs="Arial"/>
          <w:lang w:eastAsia="en-AU"/>
        </w:rPr>
        <w:t xml:space="preserve"> leaves can be produced intensively in a small garden</w:t>
      </w:r>
      <w:r w:rsidR="00E20B19">
        <w:rPr>
          <w:rFonts w:ascii="Arial" w:hAnsi="Arial" w:cs="Arial"/>
          <w:lang w:eastAsia="en-AU"/>
        </w:rPr>
        <w:t>, with just two or three</w:t>
      </w:r>
      <w:r>
        <w:rPr>
          <w:rFonts w:ascii="Arial" w:hAnsi="Arial" w:cs="Arial"/>
          <w:lang w:eastAsia="en-AU"/>
        </w:rPr>
        <w:t xml:space="preserve"> </w:t>
      </w:r>
      <w:r w:rsidR="00E20B19">
        <w:rPr>
          <w:rFonts w:ascii="Arial" w:hAnsi="Arial" w:cs="Arial"/>
          <w:lang w:eastAsia="en-AU"/>
        </w:rPr>
        <w:t>trees being sufficient for a family.</w:t>
      </w:r>
    </w:p>
    <w:p w:rsidR="00E20B19" w:rsidRDefault="00E20B19" w:rsidP="00E82173">
      <w:pPr>
        <w:rPr>
          <w:rFonts w:ascii="Arial" w:hAnsi="Arial" w:cs="Arial"/>
          <w:lang w:eastAsia="en-AU"/>
        </w:rPr>
      </w:pPr>
    </w:p>
    <w:p w:rsidR="00E20B19" w:rsidRDefault="00E20B19" w:rsidP="00E82173">
      <w:pPr>
        <w:rPr>
          <w:rFonts w:ascii="Arial" w:hAnsi="Arial" w:cs="Arial"/>
          <w:lang w:eastAsia="en-AU"/>
        </w:rPr>
      </w:pPr>
      <w:r>
        <w:rPr>
          <w:rFonts w:ascii="Arial" w:hAnsi="Arial" w:cs="Arial"/>
          <w:lang w:eastAsia="en-AU"/>
        </w:rPr>
        <w:t>Perhaps the most exciting featur</w:t>
      </w:r>
      <w:r w:rsidR="00146A74">
        <w:rPr>
          <w:rFonts w:ascii="Arial" w:hAnsi="Arial" w:cs="Arial"/>
          <w:lang w:eastAsia="en-AU"/>
        </w:rPr>
        <w:t>e of this plant, in view of</w:t>
      </w:r>
      <w:r>
        <w:rPr>
          <w:rFonts w:ascii="Arial" w:hAnsi="Arial" w:cs="Arial"/>
          <w:lang w:eastAsia="en-AU"/>
        </w:rPr>
        <w:t xml:space="preserve"> the widespread deficiency of plant-available </w:t>
      </w:r>
      <w:r w:rsidR="002215F2">
        <w:rPr>
          <w:rFonts w:ascii="Arial" w:hAnsi="Arial" w:cs="Arial"/>
          <w:lang w:eastAsia="en-AU"/>
        </w:rPr>
        <w:t>selenium and sulphur</w:t>
      </w:r>
      <w:r>
        <w:rPr>
          <w:rFonts w:ascii="Arial" w:hAnsi="Arial" w:cs="Arial"/>
          <w:lang w:eastAsia="en-AU"/>
        </w:rPr>
        <w:t xml:space="preserve"> </w:t>
      </w:r>
      <w:r w:rsidR="00C22FDA">
        <w:rPr>
          <w:rFonts w:ascii="Arial" w:hAnsi="Arial" w:cs="Arial"/>
          <w:lang w:eastAsia="en-AU"/>
        </w:rPr>
        <w:t>in sub-Saharan Africa (and the</w:t>
      </w:r>
      <w:r>
        <w:rPr>
          <w:rFonts w:ascii="Arial" w:hAnsi="Arial" w:cs="Arial"/>
          <w:lang w:eastAsia="en-AU"/>
        </w:rPr>
        <w:t xml:space="preserve"> relevance</w:t>
      </w:r>
      <w:r w:rsidR="00C22FDA">
        <w:rPr>
          <w:rFonts w:ascii="Arial" w:hAnsi="Arial" w:cs="Arial"/>
          <w:lang w:eastAsia="en-AU"/>
        </w:rPr>
        <w:t xml:space="preserve"> of these nutrients</w:t>
      </w:r>
      <w:r w:rsidR="00146A74">
        <w:rPr>
          <w:rFonts w:ascii="Arial" w:hAnsi="Arial" w:cs="Arial"/>
          <w:lang w:eastAsia="en-AU"/>
        </w:rPr>
        <w:t xml:space="preserve"> to</w:t>
      </w:r>
      <w:r>
        <w:rPr>
          <w:rFonts w:ascii="Arial" w:hAnsi="Arial" w:cs="Arial"/>
          <w:lang w:eastAsia="en-AU"/>
        </w:rPr>
        <w:t xml:space="preserve"> HIV disease), is its exceptional ability to </w:t>
      </w:r>
      <w:r w:rsidR="00C22FDA">
        <w:rPr>
          <w:rFonts w:ascii="Arial" w:hAnsi="Arial" w:cs="Arial"/>
          <w:lang w:eastAsia="en-AU"/>
        </w:rPr>
        <w:t xml:space="preserve">take up and </w:t>
      </w:r>
      <w:r>
        <w:rPr>
          <w:rFonts w:ascii="Arial" w:hAnsi="Arial" w:cs="Arial"/>
          <w:lang w:eastAsia="en-AU"/>
        </w:rPr>
        <w:t>accumulate both of t</w:t>
      </w:r>
      <w:r w:rsidR="00716159">
        <w:rPr>
          <w:rFonts w:ascii="Arial" w:hAnsi="Arial" w:cs="Arial"/>
          <w:lang w:eastAsia="en-AU"/>
        </w:rPr>
        <w:t>hese elements, even when grown</w:t>
      </w:r>
      <w:r>
        <w:rPr>
          <w:rFonts w:ascii="Arial" w:hAnsi="Arial" w:cs="Arial"/>
          <w:lang w:eastAsia="en-AU"/>
        </w:rPr>
        <w:t xml:space="preserve"> on soils where they are poorly available to most other</w:t>
      </w:r>
      <w:r w:rsidR="00146A74">
        <w:rPr>
          <w:rFonts w:ascii="Arial" w:hAnsi="Arial" w:cs="Arial"/>
          <w:lang w:eastAsia="en-AU"/>
        </w:rPr>
        <w:t xml:space="preserve"> plants. We have</w:t>
      </w:r>
      <w:r>
        <w:rPr>
          <w:rFonts w:ascii="Arial" w:hAnsi="Arial" w:cs="Arial"/>
          <w:lang w:eastAsia="en-AU"/>
        </w:rPr>
        <w:t xml:space="preserve"> found that</w:t>
      </w:r>
      <w:r w:rsidR="00B9567C">
        <w:rPr>
          <w:rFonts w:ascii="Arial" w:hAnsi="Arial" w:cs="Arial"/>
          <w:lang w:eastAsia="en-AU"/>
        </w:rPr>
        <w:t xml:space="preserve"> </w:t>
      </w:r>
      <w:proofErr w:type="spellStart"/>
      <w:r>
        <w:rPr>
          <w:rFonts w:ascii="Arial" w:hAnsi="Arial" w:cs="Arial"/>
          <w:lang w:eastAsia="en-AU"/>
        </w:rPr>
        <w:t>Moringa</w:t>
      </w:r>
      <w:proofErr w:type="spellEnd"/>
      <w:r>
        <w:rPr>
          <w:rFonts w:ascii="Arial" w:hAnsi="Arial" w:cs="Arial"/>
          <w:lang w:eastAsia="en-AU"/>
        </w:rPr>
        <w:t xml:space="preserve"> lea</w:t>
      </w:r>
      <w:r w:rsidR="00146A74">
        <w:rPr>
          <w:rFonts w:ascii="Arial" w:hAnsi="Arial" w:cs="Arial"/>
          <w:lang w:eastAsia="en-AU"/>
        </w:rPr>
        <w:t xml:space="preserve">ves commonly accumulate </w:t>
      </w:r>
      <w:r w:rsidR="009C2A07">
        <w:rPr>
          <w:rFonts w:ascii="Arial" w:hAnsi="Arial" w:cs="Arial"/>
          <w:lang w:eastAsia="en-AU"/>
        </w:rPr>
        <w:t>around four</w:t>
      </w:r>
      <w:r>
        <w:rPr>
          <w:rFonts w:ascii="Arial" w:hAnsi="Arial" w:cs="Arial"/>
          <w:lang w:eastAsia="en-AU"/>
        </w:rPr>
        <w:t xml:space="preserve"> times the</w:t>
      </w:r>
      <w:r w:rsidR="009C2A07">
        <w:rPr>
          <w:rFonts w:ascii="Arial" w:hAnsi="Arial" w:cs="Arial"/>
          <w:lang w:eastAsia="en-AU"/>
        </w:rPr>
        <w:t xml:space="preserve"> concentration of sulphur and 12</w:t>
      </w:r>
      <w:r>
        <w:rPr>
          <w:rFonts w:ascii="Arial" w:hAnsi="Arial" w:cs="Arial"/>
          <w:lang w:eastAsia="en-AU"/>
        </w:rPr>
        <w:t xml:space="preserve"> times the concentration of selenium compared to a range of other plants growing on the same soil</w:t>
      </w:r>
      <w:r w:rsidR="00146A74">
        <w:rPr>
          <w:rFonts w:ascii="Arial" w:hAnsi="Arial" w:cs="Arial"/>
          <w:lang w:eastAsia="en-AU"/>
        </w:rPr>
        <w:t xml:space="preserve"> (</w:t>
      </w:r>
      <w:r w:rsidR="00EC7917">
        <w:rPr>
          <w:rFonts w:ascii="Arial" w:hAnsi="Arial" w:cs="Arial"/>
          <w:lang w:eastAsia="en-AU"/>
        </w:rPr>
        <w:t xml:space="preserve">Table 2, </w:t>
      </w:r>
      <w:r w:rsidR="00146A74">
        <w:rPr>
          <w:rFonts w:ascii="Arial" w:hAnsi="Arial" w:cs="Arial"/>
          <w:lang w:eastAsia="en-AU"/>
        </w:rPr>
        <w:t>Lyons et al, unpublished)</w:t>
      </w:r>
      <w:r w:rsidR="00EC7917">
        <w:rPr>
          <w:rFonts w:ascii="Arial" w:hAnsi="Arial" w:cs="Arial"/>
          <w:lang w:eastAsia="en-AU"/>
        </w:rPr>
        <w:t>.</w:t>
      </w:r>
    </w:p>
    <w:p w:rsidR="00E73C16" w:rsidRDefault="00E73C16" w:rsidP="00E82173">
      <w:pPr>
        <w:rPr>
          <w:rFonts w:ascii="Arial" w:hAnsi="Arial" w:cs="Arial"/>
          <w:lang w:eastAsia="en-AU"/>
        </w:rPr>
      </w:pPr>
    </w:p>
    <w:p w:rsidR="001A7E2A" w:rsidRDefault="001A7E2A" w:rsidP="00E82173">
      <w:pPr>
        <w:rPr>
          <w:rFonts w:ascii="Arial" w:hAnsi="Arial" w:cs="Arial"/>
          <w:lang w:eastAsia="en-AU"/>
        </w:rPr>
      </w:pPr>
    </w:p>
    <w:p w:rsidR="001A7E2A" w:rsidRDefault="001A7E2A" w:rsidP="00E82173">
      <w:pPr>
        <w:rPr>
          <w:rFonts w:ascii="Arial" w:hAnsi="Arial" w:cs="Arial"/>
          <w:lang w:eastAsia="en-AU"/>
        </w:rPr>
      </w:pPr>
    </w:p>
    <w:p w:rsidR="001A7E2A" w:rsidRDefault="001A7E2A" w:rsidP="00E82173">
      <w:pPr>
        <w:rPr>
          <w:rFonts w:ascii="Arial" w:hAnsi="Arial" w:cs="Arial"/>
          <w:lang w:eastAsia="en-AU"/>
        </w:rPr>
      </w:pPr>
    </w:p>
    <w:p w:rsidR="001A7E2A" w:rsidRDefault="001A7E2A" w:rsidP="00E82173">
      <w:pPr>
        <w:rPr>
          <w:rFonts w:ascii="Arial" w:hAnsi="Arial" w:cs="Arial"/>
          <w:lang w:eastAsia="en-AU"/>
        </w:rPr>
      </w:pPr>
    </w:p>
    <w:p w:rsidR="001A7E2A" w:rsidRDefault="001A7E2A" w:rsidP="00E82173">
      <w:pPr>
        <w:rPr>
          <w:rFonts w:ascii="Arial" w:hAnsi="Arial" w:cs="Arial"/>
          <w:lang w:eastAsia="en-AU"/>
        </w:rPr>
      </w:pPr>
    </w:p>
    <w:p w:rsidR="001A7E2A" w:rsidRDefault="001A7E2A" w:rsidP="00E82173">
      <w:pPr>
        <w:rPr>
          <w:rFonts w:ascii="Arial" w:hAnsi="Arial" w:cs="Arial"/>
          <w:lang w:eastAsia="en-AU"/>
        </w:rPr>
      </w:pPr>
    </w:p>
    <w:p w:rsidR="001A7E2A" w:rsidRDefault="001A7E2A" w:rsidP="00E82173">
      <w:pPr>
        <w:rPr>
          <w:rFonts w:ascii="Arial" w:hAnsi="Arial" w:cs="Arial"/>
          <w:lang w:eastAsia="en-AU"/>
        </w:rPr>
      </w:pPr>
    </w:p>
    <w:p w:rsidR="001A7E2A" w:rsidRDefault="001A7E2A" w:rsidP="00E82173">
      <w:pPr>
        <w:rPr>
          <w:rFonts w:ascii="Arial" w:hAnsi="Arial" w:cs="Arial"/>
          <w:lang w:eastAsia="en-AU"/>
        </w:rPr>
      </w:pPr>
    </w:p>
    <w:p w:rsidR="001A7E2A" w:rsidRDefault="001A7E2A" w:rsidP="00E82173">
      <w:pPr>
        <w:rPr>
          <w:rFonts w:ascii="Arial" w:hAnsi="Arial" w:cs="Arial"/>
          <w:lang w:eastAsia="en-AU"/>
        </w:rPr>
      </w:pPr>
    </w:p>
    <w:p w:rsidR="001A7E2A" w:rsidRDefault="001A7E2A" w:rsidP="00E82173">
      <w:pPr>
        <w:rPr>
          <w:rFonts w:ascii="Arial" w:hAnsi="Arial" w:cs="Arial"/>
          <w:lang w:eastAsia="en-AU"/>
        </w:rPr>
      </w:pPr>
    </w:p>
    <w:p w:rsidR="00EF3898" w:rsidRDefault="00EC7917" w:rsidP="00E82173">
      <w:pPr>
        <w:rPr>
          <w:rFonts w:ascii="Arial" w:hAnsi="Arial" w:cs="Arial"/>
          <w:lang w:eastAsia="en-AU"/>
        </w:rPr>
      </w:pPr>
      <w:proofErr w:type="gramStart"/>
      <w:r w:rsidRPr="001A7E2A">
        <w:rPr>
          <w:rFonts w:ascii="Arial" w:hAnsi="Arial" w:cs="Arial"/>
          <w:b/>
          <w:lang w:eastAsia="en-AU"/>
        </w:rPr>
        <w:lastRenderedPageBreak/>
        <w:t>Table 2.</w:t>
      </w:r>
      <w:proofErr w:type="gramEnd"/>
      <w:r>
        <w:rPr>
          <w:rFonts w:ascii="Arial" w:hAnsi="Arial" w:cs="Arial"/>
          <w:lang w:eastAsia="en-AU"/>
        </w:rPr>
        <w:t xml:space="preserve"> Drumstick: an efficient accumulator of selenium and sulphur. Comparison of levels of Se and S in leaves of </w:t>
      </w:r>
      <w:proofErr w:type="spellStart"/>
      <w:r>
        <w:rPr>
          <w:rFonts w:ascii="Arial" w:hAnsi="Arial" w:cs="Arial"/>
          <w:i/>
          <w:lang w:eastAsia="en-AU"/>
        </w:rPr>
        <w:t>Moringa</w:t>
      </w:r>
      <w:proofErr w:type="spellEnd"/>
      <w:r>
        <w:rPr>
          <w:rFonts w:ascii="Arial" w:hAnsi="Arial" w:cs="Arial"/>
          <w:i/>
          <w:lang w:eastAsia="en-AU"/>
        </w:rPr>
        <w:t xml:space="preserve"> </w:t>
      </w:r>
      <w:proofErr w:type="spellStart"/>
      <w:r>
        <w:rPr>
          <w:rFonts w:ascii="Arial" w:hAnsi="Arial" w:cs="Arial"/>
          <w:i/>
          <w:lang w:eastAsia="en-AU"/>
        </w:rPr>
        <w:t>oleifera</w:t>
      </w:r>
      <w:proofErr w:type="spellEnd"/>
      <w:r>
        <w:rPr>
          <w:rFonts w:ascii="Arial" w:hAnsi="Arial" w:cs="Arial"/>
          <w:i/>
          <w:lang w:eastAsia="en-AU"/>
        </w:rPr>
        <w:t xml:space="preserve"> </w:t>
      </w:r>
      <w:r>
        <w:rPr>
          <w:rFonts w:ascii="Arial" w:hAnsi="Arial" w:cs="Arial"/>
          <w:lang w:eastAsia="en-AU"/>
        </w:rPr>
        <w:t>and other food crops grown</w:t>
      </w:r>
      <w:r w:rsidR="00EF3898">
        <w:rPr>
          <w:rFonts w:ascii="Arial" w:hAnsi="Arial" w:cs="Arial"/>
          <w:lang w:eastAsia="en-AU"/>
        </w:rPr>
        <w:t xml:space="preserve"> at the</w:t>
      </w:r>
      <w:r w:rsidR="001A7E2A">
        <w:rPr>
          <w:rFonts w:ascii="Arial" w:hAnsi="Arial" w:cs="Arial"/>
          <w:lang w:eastAsia="en-AU"/>
        </w:rPr>
        <w:t xml:space="preserve"> same location on the same soil</w:t>
      </w:r>
    </w:p>
    <w:p w:rsidR="00EF3898" w:rsidRDefault="00EF3898" w:rsidP="00E82173">
      <w:pPr>
        <w:rPr>
          <w:rFonts w:ascii="Arial" w:hAnsi="Arial" w:cs="Arial"/>
          <w:lang w:eastAsia="en-AU"/>
        </w:rPr>
      </w:pPr>
    </w:p>
    <w:tbl>
      <w:tblPr>
        <w:tblStyle w:val="TableClassic1"/>
        <w:tblW w:w="0" w:type="auto"/>
        <w:tblLook w:val="04A0"/>
      </w:tblPr>
      <w:tblGrid>
        <w:gridCol w:w="1704"/>
        <w:gridCol w:w="1704"/>
        <w:gridCol w:w="1704"/>
        <w:gridCol w:w="1705"/>
        <w:gridCol w:w="1705"/>
      </w:tblGrid>
      <w:tr w:rsidR="001A7E2A" w:rsidTr="00131466">
        <w:trPr>
          <w:cnfStyle w:val="100000000000"/>
        </w:trPr>
        <w:tc>
          <w:tcPr>
            <w:cnfStyle w:val="001000000000"/>
            <w:tcW w:w="1704" w:type="dxa"/>
          </w:tcPr>
          <w:p w:rsidR="001A7E2A" w:rsidRPr="001A7E2A" w:rsidRDefault="001A7E2A" w:rsidP="00E82173">
            <w:pPr>
              <w:rPr>
                <w:rFonts w:ascii="Arial" w:hAnsi="Arial" w:cs="Arial"/>
                <w:sz w:val="20"/>
                <w:szCs w:val="20"/>
                <w:lang w:eastAsia="en-AU"/>
              </w:rPr>
            </w:pPr>
            <w:r w:rsidRPr="001A7E2A">
              <w:rPr>
                <w:rFonts w:ascii="Arial" w:hAnsi="Arial" w:cs="Arial"/>
                <w:sz w:val="20"/>
                <w:szCs w:val="20"/>
                <w:lang w:eastAsia="en-AU"/>
              </w:rPr>
              <w:t>Location</w:t>
            </w:r>
          </w:p>
        </w:tc>
        <w:tc>
          <w:tcPr>
            <w:tcW w:w="1704" w:type="dxa"/>
          </w:tcPr>
          <w:p w:rsidR="001A7E2A" w:rsidRDefault="005051F2" w:rsidP="00E82173">
            <w:pPr>
              <w:cnfStyle w:val="100000000000"/>
              <w:rPr>
                <w:rFonts w:ascii="Arial" w:hAnsi="Arial" w:cs="Arial"/>
                <w:sz w:val="20"/>
                <w:szCs w:val="20"/>
                <w:lang w:eastAsia="en-AU"/>
              </w:rPr>
            </w:pPr>
            <w:r>
              <w:rPr>
                <w:rFonts w:ascii="Arial" w:hAnsi="Arial" w:cs="Arial"/>
                <w:sz w:val="20"/>
                <w:szCs w:val="20"/>
                <w:lang w:eastAsia="en-AU"/>
              </w:rPr>
              <w:t xml:space="preserve">           </w:t>
            </w:r>
            <w:r w:rsidR="001A7E2A">
              <w:rPr>
                <w:rFonts w:ascii="Arial" w:hAnsi="Arial" w:cs="Arial"/>
                <w:sz w:val="20"/>
                <w:szCs w:val="20"/>
                <w:lang w:eastAsia="en-AU"/>
              </w:rPr>
              <w:t>Selenium</w:t>
            </w:r>
          </w:p>
          <w:p w:rsidR="001A7E2A" w:rsidRPr="001A7E2A" w:rsidRDefault="005051F2" w:rsidP="00E82173">
            <w:pPr>
              <w:cnfStyle w:val="100000000000"/>
              <w:rPr>
                <w:rFonts w:ascii="Arial" w:hAnsi="Arial" w:cs="Arial"/>
                <w:sz w:val="20"/>
                <w:szCs w:val="20"/>
                <w:lang w:eastAsia="en-AU"/>
              </w:rPr>
            </w:pPr>
            <w:r>
              <w:rPr>
                <w:rFonts w:ascii="Arial" w:hAnsi="Arial" w:cs="Arial"/>
                <w:sz w:val="20"/>
                <w:szCs w:val="20"/>
                <w:lang w:eastAsia="en-AU"/>
              </w:rPr>
              <w:t xml:space="preserve">   </w:t>
            </w:r>
            <w:r w:rsidR="001A7E2A">
              <w:rPr>
                <w:rFonts w:ascii="Arial" w:hAnsi="Arial" w:cs="Arial"/>
                <w:sz w:val="20"/>
                <w:szCs w:val="20"/>
                <w:lang w:eastAsia="en-AU"/>
              </w:rPr>
              <w:t>micrograms/kg</w:t>
            </w:r>
          </w:p>
        </w:tc>
        <w:tc>
          <w:tcPr>
            <w:tcW w:w="1704" w:type="dxa"/>
          </w:tcPr>
          <w:p w:rsidR="001A7E2A" w:rsidRPr="001A7E2A" w:rsidRDefault="001A7E2A" w:rsidP="00E82173">
            <w:pPr>
              <w:cnfStyle w:val="100000000000"/>
              <w:rPr>
                <w:rFonts w:ascii="Arial" w:hAnsi="Arial" w:cs="Arial"/>
                <w:sz w:val="20"/>
                <w:szCs w:val="20"/>
                <w:lang w:eastAsia="en-AU"/>
              </w:rPr>
            </w:pPr>
          </w:p>
        </w:tc>
        <w:tc>
          <w:tcPr>
            <w:tcW w:w="1705" w:type="dxa"/>
          </w:tcPr>
          <w:p w:rsidR="001A7E2A" w:rsidRDefault="005051F2" w:rsidP="00E82173">
            <w:pPr>
              <w:cnfStyle w:val="100000000000"/>
              <w:rPr>
                <w:rFonts w:ascii="Arial" w:hAnsi="Arial" w:cs="Arial"/>
                <w:sz w:val="20"/>
                <w:szCs w:val="20"/>
                <w:lang w:eastAsia="en-AU"/>
              </w:rPr>
            </w:pPr>
            <w:r>
              <w:rPr>
                <w:rFonts w:ascii="Arial" w:hAnsi="Arial" w:cs="Arial"/>
                <w:sz w:val="20"/>
                <w:szCs w:val="20"/>
                <w:lang w:eastAsia="en-AU"/>
              </w:rPr>
              <w:t xml:space="preserve">           </w:t>
            </w:r>
            <w:r w:rsidR="001A7E2A">
              <w:rPr>
                <w:rFonts w:ascii="Arial" w:hAnsi="Arial" w:cs="Arial"/>
                <w:sz w:val="20"/>
                <w:szCs w:val="20"/>
                <w:lang w:eastAsia="en-AU"/>
              </w:rPr>
              <w:t>Sulphur</w:t>
            </w:r>
          </w:p>
          <w:p w:rsidR="001A7E2A" w:rsidRPr="001A7E2A" w:rsidRDefault="005051F2" w:rsidP="00E82173">
            <w:pPr>
              <w:cnfStyle w:val="100000000000"/>
              <w:rPr>
                <w:rFonts w:ascii="Arial" w:hAnsi="Arial" w:cs="Arial"/>
                <w:sz w:val="20"/>
                <w:szCs w:val="20"/>
                <w:lang w:eastAsia="en-AU"/>
              </w:rPr>
            </w:pPr>
            <w:r>
              <w:rPr>
                <w:rFonts w:ascii="Arial" w:hAnsi="Arial" w:cs="Arial"/>
                <w:sz w:val="20"/>
                <w:szCs w:val="20"/>
                <w:lang w:eastAsia="en-AU"/>
              </w:rPr>
              <w:t xml:space="preserve">     </w:t>
            </w:r>
            <w:r w:rsidR="001A7E2A">
              <w:rPr>
                <w:rFonts w:ascii="Arial" w:hAnsi="Arial" w:cs="Arial"/>
                <w:sz w:val="20"/>
                <w:szCs w:val="20"/>
                <w:lang w:eastAsia="en-AU"/>
              </w:rPr>
              <w:t>milligrams/kg</w:t>
            </w:r>
          </w:p>
        </w:tc>
        <w:tc>
          <w:tcPr>
            <w:tcW w:w="1705" w:type="dxa"/>
          </w:tcPr>
          <w:p w:rsidR="001A7E2A" w:rsidRPr="001A7E2A" w:rsidRDefault="001A7E2A" w:rsidP="00E82173">
            <w:pPr>
              <w:cnfStyle w:val="100000000000"/>
              <w:rPr>
                <w:rFonts w:ascii="Arial" w:hAnsi="Arial" w:cs="Arial"/>
                <w:sz w:val="20"/>
                <w:szCs w:val="20"/>
                <w:lang w:eastAsia="en-AU"/>
              </w:rPr>
            </w:pPr>
          </w:p>
        </w:tc>
      </w:tr>
      <w:tr w:rsidR="001A7E2A" w:rsidTr="00131466">
        <w:tc>
          <w:tcPr>
            <w:cnfStyle w:val="001000000000"/>
            <w:tcW w:w="1704" w:type="dxa"/>
          </w:tcPr>
          <w:p w:rsidR="001A7E2A" w:rsidRDefault="001A7E2A" w:rsidP="00E82173">
            <w:pPr>
              <w:rPr>
                <w:rFonts w:ascii="Arial" w:hAnsi="Arial" w:cs="Arial"/>
                <w:sz w:val="20"/>
                <w:szCs w:val="20"/>
                <w:lang w:eastAsia="en-AU"/>
              </w:rPr>
            </w:pPr>
          </w:p>
        </w:tc>
        <w:tc>
          <w:tcPr>
            <w:tcW w:w="1704" w:type="dxa"/>
          </w:tcPr>
          <w:p w:rsidR="001A7E2A" w:rsidRPr="00131466" w:rsidRDefault="005051F2" w:rsidP="00E82173">
            <w:pPr>
              <w:cnfStyle w:val="000000000000"/>
              <w:rPr>
                <w:rFonts w:ascii="Arial" w:hAnsi="Arial" w:cs="Arial"/>
                <w:sz w:val="20"/>
                <w:szCs w:val="20"/>
                <w:u w:val="single"/>
                <w:lang w:eastAsia="en-AU"/>
              </w:rPr>
            </w:pPr>
            <w:r>
              <w:rPr>
                <w:rFonts w:ascii="Arial" w:hAnsi="Arial" w:cs="Arial"/>
                <w:sz w:val="20"/>
                <w:szCs w:val="20"/>
                <w:u w:val="single"/>
                <w:lang w:eastAsia="en-AU"/>
              </w:rPr>
              <w:t>Drumstick</w:t>
            </w:r>
          </w:p>
        </w:tc>
        <w:tc>
          <w:tcPr>
            <w:tcW w:w="1704" w:type="dxa"/>
          </w:tcPr>
          <w:p w:rsidR="001A7E2A" w:rsidRPr="00131466" w:rsidRDefault="00131466" w:rsidP="00E82173">
            <w:pPr>
              <w:cnfStyle w:val="000000000000"/>
              <w:rPr>
                <w:rFonts w:ascii="Arial" w:hAnsi="Arial" w:cs="Arial"/>
                <w:sz w:val="20"/>
                <w:szCs w:val="20"/>
                <w:u w:val="single"/>
                <w:lang w:eastAsia="en-AU"/>
              </w:rPr>
            </w:pPr>
            <w:r w:rsidRPr="00131466">
              <w:rPr>
                <w:rFonts w:ascii="Arial" w:hAnsi="Arial" w:cs="Arial"/>
                <w:sz w:val="20"/>
                <w:szCs w:val="20"/>
                <w:u w:val="single"/>
                <w:lang w:eastAsia="en-AU"/>
              </w:rPr>
              <w:t>Others</w:t>
            </w:r>
          </w:p>
        </w:tc>
        <w:tc>
          <w:tcPr>
            <w:tcW w:w="1705" w:type="dxa"/>
          </w:tcPr>
          <w:p w:rsidR="001A7E2A" w:rsidRPr="00131466" w:rsidRDefault="005051F2" w:rsidP="00E82173">
            <w:pPr>
              <w:cnfStyle w:val="000000000000"/>
              <w:rPr>
                <w:rFonts w:ascii="Arial" w:hAnsi="Arial" w:cs="Arial"/>
                <w:sz w:val="20"/>
                <w:szCs w:val="20"/>
                <w:u w:val="single"/>
                <w:lang w:eastAsia="en-AU"/>
              </w:rPr>
            </w:pPr>
            <w:r>
              <w:rPr>
                <w:rFonts w:ascii="Arial" w:hAnsi="Arial" w:cs="Arial"/>
                <w:sz w:val="20"/>
                <w:szCs w:val="20"/>
                <w:u w:val="single"/>
                <w:lang w:eastAsia="en-AU"/>
              </w:rPr>
              <w:t>Drumstick</w:t>
            </w:r>
          </w:p>
        </w:tc>
        <w:tc>
          <w:tcPr>
            <w:tcW w:w="1705" w:type="dxa"/>
          </w:tcPr>
          <w:p w:rsidR="001A7E2A" w:rsidRPr="00131466" w:rsidRDefault="00131466" w:rsidP="00E82173">
            <w:pPr>
              <w:cnfStyle w:val="000000000000"/>
              <w:rPr>
                <w:rFonts w:ascii="Arial" w:hAnsi="Arial" w:cs="Arial"/>
                <w:sz w:val="20"/>
                <w:szCs w:val="20"/>
                <w:u w:val="single"/>
                <w:lang w:eastAsia="en-AU"/>
              </w:rPr>
            </w:pPr>
            <w:r w:rsidRPr="00131466">
              <w:rPr>
                <w:rFonts w:ascii="Arial" w:hAnsi="Arial" w:cs="Arial"/>
                <w:sz w:val="20"/>
                <w:szCs w:val="20"/>
                <w:u w:val="single"/>
                <w:lang w:eastAsia="en-AU"/>
              </w:rPr>
              <w:t>Others</w:t>
            </w:r>
          </w:p>
        </w:tc>
      </w:tr>
      <w:tr w:rsidR="001A7E2A" w:rsidTr="00131466">
        <w:tc>
          <w:tcPr>
            <w:cnfStyle w:val="001000000000"/>
            <w:tcW w:w="1704" w:type="dxa"/>
          </w:tcPr>
          <w:p w:rsidR="001A7E2A" w:rsidRPr="001A7E2A" w:rsidRDefault="001A7E2A" w:rsidP="00E82173">
            <w:pPr>
              <w:rPr>
                <w:rFonts w:ascii="Arial" w:hAnsi="Arial" w:cs="Arial"/>
                <w:sz w:val="20"/>
                <w:szCs w:val="20"/>
                <w:lang w:eastAsia="en-AU"/>
              </w:rPr>
            </w:pPr>
            <w:r>
              <w:rPr>
                <w:rFonts w:ascii="Arial" w:hAnsi="Arial" w:cs="Arial"/>
                <w:sz w:val="20"/>
                <w:szCs w:val="20"/>
                <w:lang w:eastAsia="en-AU"/>
              </w:rPr>
              <w:t>Adelaide</w:t>
            </w:r>
          </w:p>
        </w:tc>
        <w:tc>
          <w:tcPr>
            <w:tcW w:w="1704"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785</w:t>
            </w:r>
          </w:p>
        </w:tc>
        <w:tc>
          <w:tcPr>
            <w:tcW w:w="1704"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70</w:t>
            </w:r>
          </w:p>
        </w:tc>
        <w:tc>
          <w:tcPr>
            <w:tcW w:w="1705"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9300</w:t>
            </w:r>
          </w:p>
        </w:tc>
        <w:tc>
          <w:tcPr>
            <w:tcW w:w="1705"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2550</w:t>
            </w:r>
          </w:p>
        </w:tc>
      </w:tr>
      <w:tr w:rsidR="001A7E2A" w:rsidTr="00131466">
        <w:tc>
          <w:tcPr>
            <w:cnfStyle w:val="001000000000"/>
            <w:tcW w:w="1704" w:type="dxa"/>
          </w:tcPr>
          <w:p w:rsidR="001A7E2A" w:rsidRPr="001A7E2A" w:rsidRDefault="001A7E2A" w:rsidP="00E82173">
            <w:pPr>
              <w:rPr>
                <w:rFonts w:ascii="Arial" w:hAnsi="Arial" w:cs="Arial"/>
                <w:sz w:val="20"/>
                <w:szCs w:val="20"/>
                <w:lang w:eastAsia="en-AU"/>
              </w:rPr>
            </w:pPr>
            <w:r>
              <w:rPr>
                <w:rFonts w:ascii="Arial" w:hAnsi="Arial" w:cs="Arial"/>
                <w:sz w:val="20"/>
                <w:szCs w:val="20"/>
                <w:lang w:eastAsia="en-AU"/>
              </w:rPr>
              <w:t>Torres Strait</w:t>
            </w:r>
          </w:p>
        </w:tc>
        <w:tc>
          <w:tcPr>
            <w:tcW w:w="1704"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970</w:t>
            </w:r>
          </w:p>
        </w:tc>
        <w:tc>
          <w:tcPr>
            <w:tcW w:w="1704"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86</w:t>
            </w:r>
          </w:p>
        </w:tc>
        <w:tc>
          <w:tcPr>
            <w:tcW w:w="1705"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8400</w:t>
            </w:r>
          </w:p>
        </w:tc>
        <w:tc>
          <w:tcPr>
            <w:tcW w:w="1705"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2140</w:t>
            </w:r>
          </w:p>
        </w:tc>
      </w:tr>
      <w:tr w:rsidR="001A7E2A" w:rsidTr="00131466">
        <w:tc>
          <w:tcPr>
            <w:cnfStyle w:val="001000000000"/>
            <w:tcW w:w="1704" w:type="dxa"/>
          </w:tcPr>
          <w:p w:rsidR="001A7E2A" w:rsidRPr="001A7E2A" w:rsidRDefault="001A7E2A" w:rsidP="00E82173">
            <w:pPr>
              <w:rPr>
                <w:rFonts w:ascii="Arial" w:hAnsi="Arial" w:cs="Arial"/>
                <w:sz w:val="20"/>
                <w:szCs w:val="20"/>
                <w:lang w:eastAsia="en-AU"/>
              </w:rPr>
            </w:pPr>
            <w:r>
              <w:rPr>
                <w:rFonts w:ascii="Arial" w:hAnsi="Arial" w:cs="Arial"/>
                <w:sz w:val="20"/>
                <w:szCs w:val="20"/>
                <w:lang w:eastAsia="en-AU"/>
              </w:rPr>
              <w:t>Solomon Islands</w:t>
            </w:r>
          </w:p>
        </w:tc>
        <w:tc>
          <w:tcPr>
            <w:tcW w:w="1704"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2000</w:t>
            </w:r>
          </w:p>
        </w:tc>
        <w:tc>
          <w:tcPr>
            <w:tcW w:w="1704"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170</w:t>
            </w:r>
          </w:p>
        </w:tc>
        <w:tc>
          <w:tcPr>
            <w:tcW w:w="1705"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12300</w:t>
            </w:r>
          </w:p>
        </w:tc>
        <w:tc>
          <w:tcPr>
            <w:tcW w:w="1705"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3130</w:t>
            </w:r>
          </w:p>
        </w:tc>
      </w:tr>
      <w:tr w:rsidR="001A7E2A" w:rsidTr="00131466">
        <w:tc>
          <w:tcPr>
            <w:cnfStyle w:val="001000000000"/>
            <w:tcW w:w="1704" w:type="dxa"/>
          </w:tcPr>
          <w:p w:rsidR="001A7E2A" w:rsidRPr="001A7E2A" w:rsidRDefault="001A7E2A" w:rsidP="00E82173">
            <w:pPr>
              <w:rPr>
                <w:rFonts w:ascii="Arial" w:hAnsi="Arial" w:cs="Arial"/>
                <w:sz w:val="20"/>
                <w:szCs w:val="20"/>
                <w:lang w:eastAsia="en-AU"/>
              </w:rPr>
            </w:pPr>
            <w:r>
              <w:rPr>
                <w:rFonts w:ascii="Arial" w:hAnsi="Arial" w:cs="Arial"/>
                <w:sz w:val="20"/>
                <w:szCs w:val="20"/>
                <w:lang w:eastAsia="en-AU"/>
              </w:rPr>
              <w:t>Samoa</w:t>
            </w:r>
          </w:p>
        </w:tc>
        <w:tc>
          <w:tcPr>
            <w:tcW w:w="1704"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540</w:t>
            </w:r>
          </w:p>
        </w:tc>
        <w:tc>
          <w:tcPr>
            <w:tcW w:w="1704"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28</w:t>
            </w:r>
          </w:p>
        </w:tc>
        <w:tc>
          <w:tcPr>
            <w:tcW w:w="1705"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12400</w:t>
            </w:r>
          </w:p>
        </w:tc>
        <w:tc>
          <w:tcPr>
            <w:tcW w:w="1705"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3460</w:t>
            </w:r>
          </w:p>
        </w:tc>
      </w:tr>
      <w:tr w:rsidR="001A7E2A" w:rsidTr="00131466">
        <w:tc>
          <w:tcPr>
            <w:cnfStyle w:val="001000000000"/>
            <w:tcW w:w="1704" w:type="dxa"/>
          </w:tcPr>
          <w:p w:rsidR="001A7E2A" w:rsidRPr="001A7E2A" w:rsidRDefault="001A7E2A" w:rsidP="00E82173">
            <w:pPr>
              <w:rPr>
                <w:rFonts w:ascii="Arial" w:hAnsi="Arial" w:cs="Arial"/>
                <w:sz w:val="20"/>
                <w:szCs w:val="20"/>
                <w:lang w:eastAsia="en-AU"/>
              </w:rPr>
            </w:pPr>
            <w:r>
              <w:rPr>
                <w:rFonts w:ascii="Arial" w:hAnsi="Arial" w:cs="Arial"/>
                <w:sz w:val="20"/>
                <w:szCs w:val="20"/>
                <w:lang w:eastAsia="en-AU"/>
              </w:rPr>
              <w:t>Rwanda</w:t>
            </w:r>
          </w:p>
        </w:tc>
        <w:tc>
          <w:tcPr>
            <w:tcW w:w="1704"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455</w:t>
            </w:r>
          </w:p>
        </w:tc>
        <w:tc>
          <w:tcPr>
            <w:tcW w:w="1704"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40</w:t>
            </w:r>
          </w:p>
        </w:tc>
        <w:tc>
          <w:tcPr>
            <w:tcW w:w="1705"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8500</w:t>
            </w:r>
          </w:p>
        </w:tc>
        <w:tc>
          <w:tcPr>
            <w:tcW w:w="1705" w:type="dxa"/>
          </w:tcPr>
          <w:p w:rsidR="001A7E2A" w:rsidRPr="001A7E2A" w:rsidRDefault="00131466" w:rsidP="00E82173">
            <w:pPr>
              <w:cnfStyle w:val="000000000000"/>
              <w:rPr>
                <w:rFonts w:ascii="Arial" w:hAnsi="Arial" w:cs="Arial"/>
                <w:sz w:val="20"/>
                <w:szCs w:val="20"/>
                <w:lang w:eastAsia="en-AU"/>
              </w:rPr>
            </w:pPr>
            <w:r>
              <w:rPr>
                <w:rFonts w:ascii="Arial" w:hAnsi="Arial" w:cs="Arial"/>
                <w:sz w:val="20"/>
                <w:szCs w:val="20"/>
                <w:lang w:eastAsia="en-AU"/>
              </w:rPr>
              <w:t>2070</w:t>
            </w:r>
          </w:p>
        </w:tc>
      </w:tr>
      <w:tr w:rsidR="001A7E2A" w:rsidTr="00131466">
        <w:tc>
          <w:tcPr>
            <w:cnfStyle w:val="001000000000"/>
            <w:tcW w:w="1704" w:type="dxa"/>
          </w:tcPr>
          <w:p w:rsidR="001A7E2A" w:rsidRPr="001A7E2A" w:rsidRDefault="001A7E2A" w:rsidP="00E82173">
            <w:pPr>
              <w:rPr>
                <w:rFonts w:ascii="Arial" w:hAnsi="Arial" w:cs="Arial"/>
                <w:sz w:val="20"/>
                <w:szCs w:val="20"/>
                <w:lang w:eastAsia="en-AU"/>
              </w:rPr>
            </w:pPr>
          </w:p>
        </w:tc>
        <w:tc>
          <w:tcPr>
            <w:tcW w:w="1704" w:type="dxa"/>
          </w:tcPr>
          <w:p w:rsidR="001A7E2A" w:rsidRPr="001A7E2A" w:rsidRDefault="001A7E2A" w:rsidP="00E82173">
            <w:pPr>
              <w:cnfStyle w:val="000000000000"/>
              <w:rPr>
                <w:rFonts w:ascii="Arial" w:hAnsi="Arial" w:cs="Arial"/>
                <w:sz w:val="20"/>
                <w:szCs w:val="20"/>
                <w:lang w:eastAsia="en-AU"/>
              </w:rPr>
            </w:pPr>
          </w:p>
        </w:tc>
        <w:tc>
          <w:tcPr>
            <w:tcW w:w="1704" w:type="dxa"/>
          </w:tcPr>
          <w:p w:rsidR="001A7E2A" w:rsidRPr="001A7E2A" w:rsidRDefault="001A7E2A" w:rsidP="00E82173">
            <w:pPr>
              <w:cnfStyle w:val="000000000000"/>
              <w:rPr>
                <w:rFonts w:ascii="Arial" w:hAnsi="Arial" w:cs="Arial"/>
                <w:sz w:val="20"/>
                <w:szCs w:val="20"/>
                <w:lang w:eastAsia="en-AU"/>
              </w:rPr>
            </w:pPr>
          </w:p>
        </w:tc>
        <w:tc>
          <w:tcPr>
            <w:tcW w:w="1705" w:type="dxa"/>
          </w:tcPr>
          <w:p w:rsidR="001A7E2A" w:rsidRPr="001A7E2A" w:rsidRDefault="001A7E2A" w:rsidP="00E82173">
            <w:pPr>
              <w:cnfStyle w:val="000000000000"/>
              <w:rPr>
                <w:rFonts w:ascii="Arial" w:hAnsi="Arial" w:cs="Arial"/>
                <w:sz w:val="20"/>
                <w:szCs w:val="20"/>
                <w:lang w:eastAsia="en-AU"/>
              </w:rPr>
            </w:pPr>
          </w:p>
        </w:tc>
        <w:tc>
          <w:tcPr>
            <w:tcW w:w="1705" w:type="dxa"/>
          </w:tcPr>
          <w:p w:rsidR="001A7E2A" w:rsidRPr="001A7E2A" w:rsidRDefault="001A7E2A" w:rsidP="00E82173">
            <w:pPr>
              <w:cnfStyle w:val="000000000000"/>
              <w:rPr>
                <w:rFonts w:ascii="Arial" w:hAnsi="Arial" w:cs="Arial"/>
                <w:sz w:val="20"/>
                <w:szCs w:val="20"/>
                <w:lang w:eastAsia="en-AU"/>
              </w:rPr>
            </w:pPr>
          </w:p>
        </w:tc>
      </w:tr>
      <w:tr w:rsidR="001A7E2A" w:rsidRPr="00131466" w:rsidTr="00131466">
        <w:tc>
          <w:tcPr>
            <w:cnfStyle w:val="001000000000"/>
            <w:tcW w:w="1704" w:type="dxa"/>
          </w:tcPr>
          <w:p w:rsidR="001A7E2A" w:rsidRPr="00131466" w:rsidRDefault="001A7E2A" w:rsidP="00E82173">
            <w:pPr>
              <w:rPr>
                <w:rFonts w:ascii="Arial" w:hAnsi="Arial" w:cs="Arial"/>
                <w:b/>
                <w:sz w:val="20"/>
                <w:szCs w:val="20"/>
                <w:lang w:eastAsia="en-AU"/>
              </w:rPr>
            </w:pPr>
            <w:r w:rsidRPr="00131466">
              <w:rPr>
                <w:rFonts w:ascii="Arial" w:hAnsi="Arial" w:cs="Arial"/>
                <w:b/>
                <w:sz w:val="20"/>
                <w:szCs w:val="20"/>
                <w:lang w:eastAsia="en-AU"/>
              </w:rPr>
              <w:t>Mean</w:t>
            </w:r>
          </w:p>
        </w:tc>
        <w:tc>
          <w:tcPr>
            <w:tcW w:w="1704" w:type="dxa"/>
          </w:tcPr>
          <w:p w:rsidR="001A7E2A" w:rsidRPr="00131466" w:rsidRDefault="00131466" w:rsidP="00E82173">
            <w:pPr>
              <w:cnfStyle w:val="000000000000"/>
              <w:rPr>
                <w:rFonts w:ascii="Arial" w:hAnsi="Arial" w:cs="Arial"/>
                <w:b/>
                <w:sz w:val="20"/>
                <w:szCs w:val="20"/>
                <w:lang w:eastAsia="en-AU"/>
              </w:rPr>
            </w:pPr>
            <w:r w:rsidRPr="00131466">
              <w:rPr>
                <w:rFonts w:ascii="Arial" w:hAnsi="Arial" w:cs="Arial"/>
                <w:b/>
                <w:sz w:val="20"/>
                <w:szCs w:val="20"/>
                <w:lang w:eastAsia="en-AU"/>
              </w:rPr>
              <w:t>950</w:t>
            </w:r>
          </w:p>
        </w:tc>
        <w:tc>
          <w:tcPr>
            <w:tcW w:w="1704" w:type="dxa"/>
          </w:tcPr>
          <w:p w:rsidR="001A7E2A" w:rsidRPr="00131466" w:rsidRDefault="00131466" w:rsidP="00E82173">
            <w:pPr>
              <w:cnfStyle w:val="000000000000"/>
              <w:rPr>
                <w:rFonts w:ascii="Arial" w:hAnsi="Arial" w:cs="Arial"/>
                <w:b/>
                <w:sz w:val="20"/>
                <w:szCs w:val="20"/>
                <w:lang w:eastAsia="en-AU"/>
              </w:rPr>
            </w:pPr>
            <w:r w:rsidRPr="00131466">
              <w:rPr>
                <w:rFonts w:ascii="Arial" w:hAnsi="Arial" w:cs="Arial"/>
                <w:b/>
                <w:sz w:val="20"/>
                <w:szCs w:val="20"/>
                <w:lang w:eastAsia="en-AU"/>
              </w:rPr>
              <w:t>79</w:t>
            </w:r>
          </w:p>
        </w:tc>
        <w:tc>
          <w:tcPr>
            <w:tcW w:w="1705" w:type="dxa"/>
          </w:tcPr>
          <w:p w:rsidR="001A7E2A" w:rsidRPr="00131466" w:rsidRDefault="00131466" w:rsidP="00E82173">
            <w:pPr>
              <w:cnfStyle w:val="000000000000"/>
              <w:rPr>
                <w:rFonts w:ascii="Arial" w:hAnsi="Arial" w:cs="Arial"/>
                <w:b/>
                <w:sz w:val="20"/>
                <w:szCs w:val="20"/>
                <w:lang w:eastAsia="en-AU"/>
              </w:rPr>
            </w:pPr>
            <w:r w:rsidRPr="00131466">
              <w:rPr>
                <w:rFonts w:ascii="Arial" w:hAnsi="Arial" w:cs="Arial"/>
                <w:b/>
                <w:sz w:val="20"/>
                <w:szCs w:val="20"/>
                <w:lang w:eastAsia="en-AU"/>
              </w:rPr>
              <w:t>10180</w:t>
            </w:r>
          </w:p>
        </w:tc>
        <w:tc>
          <w:tcPr>
            <w:tcW w:w="1705" w:type="dxa"/>
          </w:tcPr>
          <w:p w:rsidR="001A7E2A" w:rsidRPr="00131466" w:rsidRDefault="00131466" w:rsidP="00E82173">
            <w:pPr>
              <w:cnfStyle w:val="000000000000"/>
              <w:rPr>
                <w:rFonts w:ascii="Arial" w:hAnsi="Arial" w:cs="Arial"/>
                <w:b/>
                <w:sz w:val="20"/>
                <w:szCs w:val="20"/>
                <w:lang w:eastAsia="en-AU"/>
              </w:rPr>
            </w:pPr>
            <w:r w:rsidRPr="00131466">
              <w:rPr>
                <w:rFonts w:ascii="Arial" w:hAnsi="Arial" w:cs="Arial"/>
                <w:b/>
                <w:sz w:val="20"/>
                <w:szCs w:val="20"/>
                <w:lang w:eastAsia="en-AU"/>
              </w:rPr>
              <w:t>2670</w:t>
            </w:r>
          </w:p>
        </w:tc>
      </w:tr>
      <w:tr w:rsidR="001A7E2A" w:rsidRPr="00131466" w:rsidTr="00131466">
        <w:tc>
          <w:tcPr>
            <w:cnfStyle w:val="001000000000"/>
            <w:tcW w:w="1704" w:type="dxa"/>
          </w:tcPr>
          <w:p w:rsidR="001A7E2A" w:rsidRPr="00131466" w:rsidRDefault="001A7E2A" w:rsidP="00E82173">
            <w:pPr>
              <w:rPr>
                <w:rFonts w:ascii="Arial" w:hAnsi="Arial" w:cs="Arial"/>
                <w:b/>
                <w:sz w:val="20"/>
                <w:szCs w:val="20"/>
                <w:lang w:eastAsia="en-AU"/>
              </w:rPr>
            </w:pPr>
            <w:r w:rsidRPr="00131466">
              <w:rPr>
                <w:rFonts w:ascii="Arial" w:hAnsi="Arial" w:cs="Arial"/>
                <w:b/>
                <w:sz w:val="20"/>
                <w:szCs w:val="20"/>
                <w:lang w:eastAsia="en-AU"/>
              </w:rPr>
              <w:t>-fold increase</w:t>
            </w:r>
          </w:p>
        </w:tc>
        <w:tc>
          <w:tcPr>
            <w:tcW w:w="1704" w:type="dxa"/>
          </w:tcPr>
          <w:p w:rsidR="001A7E2A" w:rsidRPr="00131466" w:rsidRDefault="00131466" w:rsidP="00E82173">
            <w:pPr>
              <w:cnfStyle w:val="000000000000"/>
              <w:rPr>
                <w:rFonts w:ascii="Arial" w:hAnsi="Arial" w:cs="Arial"/>
                <w:b/>
                <w:sz w:val="20"/>
                <w:szCs w:val="20"/>
                <w:lang w:eastAsia="en-AU"/>
              </w:rPr>
            </w:pPr>
            <w:r w:rsidRPr="00131466">
              <w:rPr>
                <w:rFonts w:ascii="Arial" w:hAnsi="Arial" w:cs="Arial"/>
                <w:b/>
                <w:sz w:val="20"/>
                <w:szCs w:val="20"/>
                <w:lang w:eastAsia="en-AU"/>
              </w:rPr>
              <w:t>12</w:t>
            </w:r>
          </w:p>
        </w:tc>
        <w:tc>
          <w:tcPr>
            <w:tcW w:w="1704" w:type="dxa"/>
          </w:tcPr>
          <w:p w:rsidR="001A7E2A" w:rsidRPr="00131466" w:rsidRDefault="001A7E2A" w:rsidP="00E82173">
            <w:pPr>
              <w:cnfStyle w:val="000000000000"/>
              <w:rPr>
                <w:rFonts w:ascii="Arial" w:hAnsi="Arial" w:cs="Arial"/>
                <w:b/>
                <w:sz w:val="20"/>
                <w:szCs w:val="20"/>
                <w:lang w:eastAsia="en-AU"/>
              </w:rPr>
            </w:pPr>
          </w:p>
        </w:tc>
        <w:tc>
          <w:tcPr>
            <w:tcW w:w="1705" w:type="dxa"/>
          </w:tcPr>
          <w:p w:rsidR="001A7E2A" w:rsidRPr="00131466" w:rsidRDefault="00131466" w:rsidP="00E82173">
            <w:pPr>
              <w:cnfStyle w:val="000000000000"/>
              <w:rPr>
                <w:rFonts w:ascii="Arial" w:hAnsi="Arial" w:cs="Arial"/>
                <w:b/>
                <w:sz w:val="20"/>
                <w:szCs w:val="20"/>
                <w:lang w:eastAsia="en-AU"/>
              </w:rPr>
            </w:pPr>
            <w:r w:rsidRPr="00131466">
              <w:rPr>
                <w:rFonts w:ascii="Arial" w:hAnsi="Arial" w:cs="Arial"/>
                <w:b/>
                <w:sz w:val="20"/>
                <w:szCs w:val="20"/>
                <w:lang w:eastAsia="en-AU"/>
              </w:rPr>
              <w:t>3.8</w:t>
            </w:r>
          </w:p>
        </w:tc>
        <w:tc>
          <w:tcPr>
            <w:tcW w:w="1705" w:type="dxa"/>
          </w:tcPr>
          <w:p w:rsidR="001A7E2A" w:rsidRPr="00131466" w:rsidRDefault="001A7E2A" w:rsidP="00E82173">
            <w:pPr>
              <w:cnfStyle w:val="000000000000"/>
              <w:rPr>
                <w:rFonts w:ascii="Arial" w:hAnsi="Arial" w:cs="Arial"/>
                <w:b/>
                <w:sz w:val="20"/>
                <w:szCs w:val="20"/>
                <w:lang w:eastAsia="en-AU"/>
              </w:rPr>
            </w:pPr>
          </w:p>
        </w:tc>
      </w:tr>
    </w:tbl>
    <w:p w:rsidR="00EF3898" w:rsidRDefault="00131466" w:rsidP="00E82173">
      <w:pPr>
        <w:rPr>
          <w:rFonts w:ascii="Arial" w:hAnsi="Arial" w:cs="Arial"/>
          <w:sz w:val="22"/>
          <w:szCs w:val="22"/>
          <w:lang w:eastAsia="en-AU"/>
        </w:rPr>
      </w:pPr>
      <w:r w:rsidRPr="00131466">
        <w:rPr>
          <w:rFonts w:ascii="Arial" w:hAnsi="Arial" w:cs="Arial"/>
          <w:sz w:val="22"/>
          <w:szCs w:val="22"/>
          <w:lang w:eastAsia="en-AU"/>
        </w:rPr>
        <w:t>The Adelaide samples were grown in a growth chamber at the University of Adelaide.</w:t>
      </w:r>
      <w:r>
        <w:rPr>
          <w:rFonts w:ascii="Arial" w:hAnsi="Arial" w:cs="Arial"/>
          <w:sz w:val="22"/>
          <w:szCs w:val="22"/>
          <w:lang w:eastAsia="en-AU"/>
        </w:rPr>
        <w:t xml:space="preserve"> The Torres Strait Islands lie between Australia and Papua New Guinea. Other samples include leaves of cassava, </w:t>
      </w:r>
      <w:proofErr w:type="spellStart"/>
      <w:r>
        <w:rPr>
          <w:rFonts w:ascii="Arial" w:hAnsi="Arial" w:cs="Arial"/>
          <w:sz w:val="22"/>
          <w:szCs w:val="22"/>
          <w:lang w:eastAsia="en-AU"/>
        </w:rPr>
        <w:t>sweetpotato</w:t>
      </w:r>
      <w:proofErr w:type="spellEnd"/>
      <w:r>
        <w:rPr>
          <w:rFonts w:ascii="Arial" w:hAnsi="Arial" w:cs="Arial"/>
          <w:sz w:val="22"/>
          <w:szCs w:val="22"/>
          <w:lang w:eastAsia="en-AU"/>
        </w:rPr>
        <w:t xml:space="preserve">, Ceylon spinach, sandpaper fig, </w:t>
      </w:r>
      <w:proofErr w:type="spellStart"/>
      <w:r>
        <w:rPr>
          <w:rFonts w:ascii="Arial" w:hAnsi="Arial" w:cs="Arial"/>
          <w:sz w:val="22"/>
          <w:szCs w:val="22"/>
          <w:lang w:eastAsia="en-AU"/>
        </w:rPr>
        <w:t>aibika</w:t>
      </w:r>
      <w:proofErr w:type="spellEnd"/>
      <w:r>
        <w:rPr>
          <w:rFonts w:ascii="Arial" w:hAnsi="Arial" w:cs="Arial"/>
          <w:sz w:val="22"/>
          <w:szCs w:val="22"/>
          <w:lang w:eastAsia="en-AU"/>
        </w:rPr>
        <w:t>, chilli, barley.</w:t>
      </w:r>
    </w:p>
    <w:p w:rsidR="00131466" w:rsidRPr="00131466" w:rsidRDefault="00131466" w:rsidP="00E82173">
      <w:pPr>
        <w:rPr>
          <w:rFonts w:ascii="Arial" w:hAnsi="Arial" w:cs="Arial"/>
          <w:sz w:val="22"/>
          <w:szCs w:val="22"/>
          <w:lang w:eastAsia="en-AU"/>
        </w:rPr>
      </w:pPr>
    </w:p>
    <w:p w:rsidR="00E73C16" w:rsidRDefault="00E73C16" w:rsidP="00E82173">
      <w:pPr>
        <w:rPr>
          <w:rFonts w:ascii="Arial" w:hAnsi="Arial" w:cs="Arial"/>
          <w:lang w:eastAsia="en-AU"/>
        </w:rPr>
      </w:pPr>
      <w:r w:rsidRPr="00E73C16">
        <w:rPr>
          <w:rFonts w:ascii="Arial" w:hAnsi="Arial" w:cs="Arial"/>
          <w:b/>
          <w:sz w:val="32"/>
          <w:szCs w:val="32"/>
          <w:lang w:eastAsia="en-AU"/>
        </w:rPr>
        <w:t>References</w:t>
      </w:r>
    </w:p>
    <w:p w:rsidR="00E73C16" w:rsidRDefault="00E73C16" w:rsidP="00E82173">
      <w:pPr>
        <w:rPr>
          <w:rFonts w:ascii="Arial" w:hAnsi="Arial" w:cs="Arial"/>
          <w:lang w:eastAsia="en-AU"/>
        </w:rPr>
      </w:pPr>
    </w:p>
    <w:p w:rsidR="002A1DD7" w:rsidRDefault="00695110" w:rsidP="00E82173">
      <w:pPr>
        <w:rPr>
          <w:rFonts w:ascii="Arial" w:hAnsi="Arial" w:cs="Arial"/>
          <w:lang w:eastAsia="en-AU"/>
        </w:rPr>
      </w:pPr>
      <w:proofErr w:type="gramStart"/>
      <w:r>
        <w:rPr>
          <w:rFonts w:ascii="Arial" w:hAnsi="Arial" w:cs="Arial"/>
          <w:lang w:eastAsia="en-AU"/>
        </w:rPr>
        <w:t>Anwar F</w:t>
      </w:r>
      <w:r w:rsidR="002A1DD7">
        <w:rPr>
          <w:rFonts w:ascii="Arial" w:hAnsi="Arial" w:cs="Arial"/>
          <w:lang w:eastAsia="en-AU"/>
        </w:rPr>
        <w:t xml:space="preserve">, Latif S, </w:t>
      </w:r>
      <w:proofErr w:type="spellStart"/>
      <w:r w:rsidR="002A1DD7">
        <w:rPr>
          <w:rFonts w:ascii="Arial" w:hAnsi="Arial" w:cs="Arial"/>
          <w:lang w:eastAsia="en-AU"/>
        </w:rPr>
        <w:t>Ashraf</w:t>
      </w:r>
      <w:proofErr w:type="spellEnd"/>
      <w:r w:rsidR="002A1DD7">
        <w:rPr>
          <w:rFonts w:ascii="Arial" w:hAnsi="Arial" w:cs="Arial"/>
          <w:lang w:eastAsia="en-AU"/>
        </w:rPr>
        <w:t xml:space="preserve"> M, </w:t>
      </w:r>
      <w:proofErr w:type="spellStart"/>
      <w:r w:rsidR="002A1DD7">
        <w:rPr>
          <w:rFonts w:ascii="Arial" w:hAnsi="Arial" w:cs="Arial"/>
          <w:lang w:eastAsia="en-AU"/>
        </w:rPr>
        <w:t>Gilani</w:t>
      </w:r>
      <w:proofErr w:type="spellEnd"/>
      <w:r w:rsidR="002A1DD7">
        <w:rPr>
          <w:rFonts w:ascii="Arial" w:hAnsi="Arial" w:cs="Arial"/>
          <w:lang w:eastAsia="en-AU"/>
        </w:rPr>
        <w:t xml:space="preserve"> AH 2007.</w:t>
      </w:r>
      <w:proofErr w:type="gramEnd"/>
      <w:r w:rsidR="002A1DD7">
        <w:rPr>
          <w:rFonts w:ascii="Arial" w:hAnsi="Arial" w:cs="Arial"/>
          <w:lang w:eastAsia="en-AU"/>
        </w:rPr>
        <w:t xml:space="preserve"> </w:t>
      </w:r>
      <w:proofErr w:type="spellStart"/>
      <w:r w:rsidR="002A1DD7">
        <w:rPr>
          <w:rFonts w:ascii="Arial" w:hAnsi="Arial" w:cs="Arial"/>
          <w:i/>
          <w:lang w:eastAsia="en-AU"/>
        </w:rPr>
        <w:t>Moringa</w:t>
      </w:r>
      <w:proofErr w:type="spellEnd"/>
      <w:r w:rsidR="002A1DD7">
        <w:rPr>
          <w:rFonts w:ascii="Arial" w:hAnsi="Arial" w:cs="Arial"/>
          <w:i/>
          <w:lang w:eastAsia="en-AU"/>
        </w:rPr>
        <w:t xml:space="preserve"> </w:t>
      </w:r>
      <w:proofErr w:type="spellStart"/>
      <w:r w:rsidR="002A1DD7">
        <w:rPr>
          <w:rFonts w:ascii="Arial" w:hAnsi="Arial" w:cs="Arial"/>
          <w:i/>
          <w:lang w:eastAsia="en-AU"/>
        </w:rPr>
        <w:t>oleifera</w:t>
      </w:r>
      <w:proofErr w:type="spellEnd"/>
      <w:r w:rsidR="002A1DD7">
        <w:rPr>
          <w:rFonts w:ascii="Arial" w:hAnsi="Arial" w:cs="Arial"/>
          <w:lang w:eastAsia="en-AU"/>
        </w:rPr>
        <w:t xml:space="preserve">: </w:t>
      </w:r>
      <w:r w:rsidR="00AC343E">
        <w:rPr>
          <w:rFonts w:ascii="Arial" w:hAnsi="Arial" w:cs="Arial"/>
          <w:lang w:eastAsia="en-AU"/>
        </w:rPr>
        <w:t xml:space="preserve">a food plant with multiple medicinal uses. </w:t>
      </w:r>
      <w:proofErr w:type="spellStart"/>
      <w:r w:rsidR="00AC343E">
        <w:rPr>
          <w:rFonts w:ascii="Arial" w:hAnsi="Arial" w:cs="Arial"/>
          <w:i/>
          <w:lang w:eastAsia="en-AU"/>
        </w:rPr>
        <w:t>Phytotherapy</w:t>
      </w:r>
      <w:proofErr w:type="spellEnd"/>
      <w:r w:rsidR="00AC343E">
        <w:rPr>
          <w:rFonts w:ascii="Arial" w:hAnsi="Arial" w:cs="Arial"/>
          <w:i/>
          <w:lang w:eastAsia="en-AU"/>
        </w:rPr>
        <w:t xml:space="preserve"> Research </w:t>
      </w:r>
      <w:r w:rsidR="00AC343E">
        <w:rPr>
          <w:rFonts w:ascii="Arial" w:hAnsi="Arial" w:cs="Arial"/>
          <w:lang w:eastAsia="en-AU"/>
        </w:rPr>
        <w:t>21: 17-25.</w:t>
      </w:r>
    </w:p>
    <w:p w:rsidR="004F0795" w:rsidRDefault="004F0795" w:rsidP="00E82173">
      <w:pPr>
        <w:rPr>
          <w:rFonts w:ascii="Arial" w:hAnsi="Arial" w:cs="Arial"/>
          <w:lang w:eastAsia="en-AU"/>
        </w:rPr>
      </w:pPr>
    </w:p>
    <w:p w:rsidR="004F0795" w:rsidRPr="004F0795" w:rsidRDefault="00695110" w:rsidP="004F0795">
      <w:pPr>
        <w:rPr>
          <w:rFonts w:ascii="Arial" w:hAnsi="Arial" w:cs="Arial"/>
          <w:lang w:eastAsia="en-AU"/>
        </w:rPr>
      </w:pPr>
      <w:proofErr w:type="gramStart"/>
      <w:r>
        <w:rPr>
          <w:rFonts w:ascii="Arial" w:hAnsi="Arial" w:cs="Arial"/>
          <w:lang w:eastAsia="en-AU"/>
        </w:rPr>
        <w:t xml:space="preserve">Chilimba AD, Young SD, Black CR, </w:t>
      </w:r>
      <w:proofErr w:type="spellStart"/>
      <w:r>
        <w:rPr>
          <w:rFonts w:ascii="Arial" w:hAnsi="Arial" w:cs="Arial"/>
          <w:lang w:eastAsia="en-AU"/>
        </w:rPr>
        <w:t>Rogerson</w:t>
      </w:r>
      <w:proofErr w:type="spellEnd"/>
      <w:r>
        <w:rPr>
          <w:rFonts w:ascii="Arial" w:hAnsi="Arial" w:cs="Arial"/>
          <w:lang w:eastAsia="en-AU"/>
        </w:rPr>
        <w:t xml:space="preserve"> KB, Ander EL, Watts MJ, </w:t>
      </w:r>
      <w:proofErr w:type="spellStart"/>
      <w:r>
        <w:rPr>
          <w:rFonts w:ascii="Arial" w:hAnsi="Arial" w:cs="Arial"/>
          <w:lang w:eastAsia="en-AU"/>
        </w:rPr>
        <w:t>Lammel</w:t>
      </w:r>
      <w:proofErr w:type="spellEnd"/>
      <w:r>
        <w:rPr>
          <w:rFonts w:ascii="Arial" w:hAnsi="Arial" w:cs="Arial"/>
          <w:lang w:eastAsia="en-AU"/>
        </w:rPr>
        <w:t xml:space="preserve"> J, Broadley MR</w:t>
      </w:r>
      <w:r w:rsidR="004F0795" w:rsidRPr="004F0795">
        <w:rPr>
          <w:rFonts w:ascii="Arial" w:hAnsi="Arial" w:cs="Arial"/>
          <w:lang w:eastAsia="en-AU"/>
        </w:rPr>
        <w:t xml:space="preserve"> 2011.</w:t>
      </w:r>
      <w:proofErr w:type="gramEnd"/>
      <w:r w:rsidR="004F0795" w:rsidRPr="004F0795">
        <w:rPr>
          <w:rFonts w:ascii="Arial" w:hAnsi="Arial" w:cs="Arial"/>
          <w:lang w:eastAsia="en-AU"/>
        </w:rPr>
        <w:t xml:space="preserve"> Maize grain and soil surveys reveal suboptimal dietary selenium intake is widespread in Malawi. </w:t>
      </w:r>
      <w:r w:rsidR="004F0795" w:rsidRPr="004F0795">
        <w:rPr>
          <w:rFonts w:ascii="Arial" w:hAnsi="Arial" w:cs="Arial"/>
          <w:i/>
          <w:lang w:eastAsia="en-AU"/>
        </w:rPr>
        <w:t xml:space="preserve">Scientific Reports </w:t>
      </w:r>
      <w:r w:rsidR="004F0795" w:rsidRPr="004F0795">
        <w:rPr>
          <w:rFonts w:ascii="Arial" w:hAnsi="Arial" w:cs="Arial"/>
          <w:lang w:eastAsia="en-AU"/>
        </w:rPr>
        <w:t xml:space="preserve">1: 72. </w:t>
      </w:r>
      <w:proofErr w:type="spellStart"/>
      <w:proofErr w:type="gramStart"/>
      <w:r w:rsidR="004F0795" w:rsidRPr="004F0795">
        <w:rPr>
          <w:rFonts w:ascii="Arial" w:hAnsi="Arial" w:cs="Arial"/>
          <w:lang w:eastAsia="en-AU"/>
        </w:rPr>
        <w:t>doi</w:t>
      </w:r>
      <w:proofErr w:type="spellEnd"/>
      <w:proofErr w:type="gramEnd"/>
      <w:r w:rsidR="004F0795" w:rsidRPr="004F0795">
        <w:rPr>
          <w:rFonts w:ascii="Arial" w:hAnsi="Arial" w:cs="Arial"/>
          <w:lang w:eastAsia="en-AU"/>
        </w:rPr>
        <w:t>: 10.1038/srep00072.</w:t>
      </w:r>
    </w:p>
    <w:p w:rsidR="004F0795" w:rsidRDefault="004F0795" w:rsidP="00E82173">
      <w:pPr>
        <w:rPr>
          <w:rFonts w:ascii="Arial" w:hAnsi="Arial" w:cs="Arial"/>
          <w:lang w:eastAsia="en-AU"/>
        </w:rPr>
      </w:pPr>
    </w:p>
    <w:p w:rsidR="00D84B2B" w:rsidRDefault="00D84B2B" w:rsidP="00E82173">
      <w:pPr>
        <w:rPr>
          <w:rFonts w:ascii="Arial" w:hAnsi="Arial" w:cs="Arial"/>
          <w:lang w:eastAsia="en-AU"/>
        </w:rPr>
      </w:pPr>
      <w:proofErr w:type="gramStart"/>
      <w:r>
        <w:rPr>
          <w:rFonts w:ascii="Arial" w:hAnsi="Arial" w:cs="Arial"/>
          <w:lang w:eastAsia="en-AU"/>
        </w:rPr>
        <w:t xml:space="preserve">Christophersen OA, Lyons G, Haug A, </w:t>
      </w:r>
      <w:proofErr w:type="spellStart"/>
      <w:r>
        <w:rPr>
          <w:rFonts w:ascii="Arial" w:hAnsi="Arial" w:cs="Arial"/>
          <w:lang w:eastAsia="en-AU"/>
        </w:rPr>
        <w:t>Steinnes</w:t>
      </w:r>
      <w:proofErr w:type="spellEnd"/>
      <w:r>
        <w:rPr>
          <w:rFonts w:ascii="Arial" w:hAnsi="Arial" w:cs="Arial"/>
          <w:lang w:eastAsia="en-AU"/>
        </w:rPr>
        <w:t xml:space="preserve"> E 2012.</w:t>
      </w:r>
      <w:proofErr w:type="gramEnd"/>
      <w:r>
        <w:rPr>
          <w:rFonts w:ascii="Arial" w:hAnsi="Arial" w:cs="Arial"/>
          <w:lang w:eastAsia="en-AU"/>
        </w:rPr>
        <w:t xml:space="preserve"> </w:t>
      </w:r>
      <w:proofErr w:type="gramStart"/>
      <w:r>
        <w:rPr>
          <w:rFonts w:ascii="Arial" w:hAnsi="Arial" w:cs="Arial"/>
          <w:lang w:eastAsia="en-AU"/>
        </w:rPr>
        <w:t>Selenium.</w:t>
      </w:r>
      <w:proofErr w:type="gramEnd"/>
      <w:r>
        <w:rPr>
          <w:rFonts w:ascii="Arial" w:hAnsi="Arial" w:cs="Arial"/>
          <w:lang w:eastAsia="en-AU"/>
        </w:rPr>
        <w:t xml:space="preserve"> In BJ </w:t>
      </w:r>
      <w:proofErr w:type="spellStart"/>
      <w:r>
        <w:rPr>
          <w:rFonts w:ascii="Arial" w:hAnsi="Arial" w:cs="Arial"/>
          <w:lang w:eastAsia="en-AU"/>
        </w:rPr>
        <w:t>Alloway</w:t>
      </w:r>
      <w:proofErr w:type="spellEnd"/>
      <w:r>
        <w:rPr>
          <w:rFonts w:ascii="Arial" w:hAnsi="Arial" w:cs="Arial"/>
          <w:lang w:eastAsia="en-AU"/>
        </w:rPr>
        <w:t xml:space="preserve"> (</w:t>
      </w:r>
      <w:proofErr w:type="spellStart"/>
      <w:proofErr w:type="gramStart"/>
      <w:r>
        <w:rPr>
          <w:rFonts w:ascii="Arial" w:hAnsi="Arial" w:cs="Arial"/>
          <w:lang w:eastAsia="en-AU"/>
        </w:rPr>
        <w:t>ed</w:t>
      </w:r>
      <w:proofErr w:type="spellEnd"/>
      <w:proofErr w:type="gramEnd"/>
      <w:r>
        <w:rPr>
          <w:rFonts w:ascii="Arial" w:hAnsi="Arial" w:cs="Arial"/>
          <w:lang w:eastAsia="en-AU"/>
        </w:rPr>
        <w:t xml:space="preserve">) </w:t>
      </w:r>
      <w:r>
        <w:rPr>
          <w:rFonts w:ascii="Arial" w:hAnsi="Arial" w:cs="Arial"/>
          <w:i/>
          <w:lang w:eastAsia="en-AU"/>
        </w:rPr>
        <w:t xml:space="preserve">Heavy Metals in Soils: Trace Elements and Metalloids in Soils and their Bioavailability </w:t>
      </w:r>
      <w:r>
        <w:rPr>
          <w:rFonts w:ascii="Arial" w:hAnsi="Arial" w:cs="Arial"/>
          <w:lang w:eastAsia="en-AU"/>
        </w:rPr>
        <w:t>3</w:t>
      </w:r>
      <w:r w:rsidRPr="00D84B2B">
        <w:rPr>
          <w:rFonts w:ascii="Arial" w:hAnsi="Arial" w:cs="Arial"/>
          <w:vertAlign w:val="superscript"/>
          <w:lang w:eastAsia="en-AU"/>
        </w:rPr>
        <w:t>rd</w:t>
      </w:r>
      <w:r>
        <w:rPr>
          <w:rFonts w:ascii="Arial" w:hAnsi="Arial" w:cs="Arial"/>
          <w:lang w:eastAsia="en-AU"/>
        </w:rPr>
        <w:t xml:space="preserve"> edition. Dordrecht: Springer.</w:t>
      </w:r>
    </w:p>
    <w:p w:rsidR="00AC343E" w:rsidRDefault="00AC343E" w:rsidP="00E82173">
      <w:pPr>
        <w:rPr>
          <w:rFonts w:ascii="Arial" w:hAnsi="Arial" w:cs="Arial"/>
          <w:lang w:eastAsia="en-AU"/>
        </w:rPr>
      </w:pPr>
    </w:p>
    <w:p w:rsidR="00AC343E" w:rsidRDefault="00AC343E" w:rsidP="00E82173">
      <w:pPr>
        <w:rPr>
          <w:rFonts w:ascii="Arial" w:hAnsi="Arial" w:cs="Arial"/>
          <w:lang w:eastAsia="en-AU"/>
        </w:rPr>
      </w:pPr>
      <w:proofErr w:type="spellStart"/>
      <w:proofErr w:type="gramStart"/>
      <w:r>
        <w:rPr>
          <w:rFonts w:ascii="Arial" w:hAnsi="Arial" w:cs="Arial"/>
          <w:lang w:eastAsia="en-AU"/>
        </w:rPr>
        <w:t>Ejoh</w:t>
      </w:r>
      <w:proofErr w:type="spellEnd"/>
      <w:r>
        <w:rPr>
          <w:rFonts w:ascii="Arial" w:hAnsi="Arial" w:cs="Arial"/>
          <w:lang w:eastAsia="en-AU"/>
        </w:rPr>
        <w:t xml:space="preserve"> RA, </w:t>
      </w:r>
      <w:proofErr w:type="spellStart"/>
      <w:r>
        <w:rPr>
          <w:rFonts w:ascii="Arial" w:hAnsi="Arial" w:cs="Arial"/>
          <w:lang w:eastAsia="en-AU"/>
        </w:rPr>
        <w:t>Dever</w:t>
      </w:r>
      <w:proofErr w:type="spellEnd"/>
      <w:r>
        <w:rPr>
          <w:rFonts w:ascii="Arial" w:hAnsi="Arial" w:cs="Arial"/>
          <w:lang w:eastAsia="en-AU"/>
        </w:rPr>
        <w:t xml:space="preserve"> JT, Mills JP, </w:t>
      </w:r>
      <w:proofErr w:type="spellStart"/>
      <w:r>
        <w:rPr>
          <w:rFonts w:ascii="Arial" w:hAnsi="Arial" w:cs="Arial"/>
          <w:lang w:eastAsia="en-AU"/>
        </w:rPr>
        <w:t>Tanumihardjo</w:t>
      </w:r>
      <w:proofErr w:type="spellEnd"/>
      <w:r>
        <w:rPr>
          <w:rFonts w:ascii="Arial" w:hAnsi="Arial" w:cs="Arial"/>
          <w:lang w:eastAsia="en-AU"/>
        </w:rPr>
        <w:t xml:space="preserve"> SA 2010.</w:t>
      </w:r>
      <w:proofErr w:type="gramEnd"/>
      <w:r>
        <w:rPr>
          <w:rFonts w:ascii="Arial" w:hAnsi="Arial" w:cs="Arial"/>
          <w:lang w:eastAsia="en-AU"/>
        </w:rPr>
        <w:t xml:space="preserve"> Small quantities of </w:t>
      </w:r>
      <w:proofErr w:type="spellStart"/>
      <w:r>
        <w:rPr>
          <w:rFonts w:ascii="Arial" w:hAnsi="Arial" w:cs="Arial"/>
          <w:lang w:eastAsia="en-AU"/>
        </w:rPr>
        <w:t>carotenoid</w:t>
      </w:r>
      <w:proofErr w:type="spellEnd"/>
      <w:r>
        <w:rPr>
          <w:rFonts w:ascii="Arial" w:hAnsi="Arial" w:cs="Arial"/>
          <w:lang w:eastAsia="en-AU"/>
        </w:rPr>
        <w:t>-rich tropical green leafy vegetables indigenous to Africa maintain vitamin A status in Mongolian gerbils (</w:t>
      </w:r>
      <w:proofErr w:type="spellStart"/>
      <w:r>
        <w:rPr>
          <w:rFonts w:ascii="Arial" w:hAnsi="Arial" w:cs="Arial"/>
          <w:i/>
          <w:lang w:eastAsia="en-AU"/>
        </w:rPr>
        <w:t>Meriones</w:t>
      </w:r>
      <w:proofErr w:type="spellEnd"/>
      <w:r>
        <w:rPr>
          <w:rFonts w:ascii="Arial" w:hAnsi="Arial" w:cs="Arial"/>
          <w:i/>
          <w:lang w:eastAsia="en-AU"/>
        </w:rPr>
        <w:t xml:space="preserve"> </w:t>
      </w:r>
      <w:proofErr w:type="spellStart"/>
      <w:r>
        <w:rPr>
          <w:rFonts w:ascii="Arial" w:hAnsi="Arial" w:cs="Arial"/>
          <w:i/>
          <w:lang w:eastAsia="en-AU"/>
        </w:rPr>
        <w:t>unguiculatus</w:t>
      </w:r>
      <w:proofErr w:type="spellEnd"/>
      <w:r>
        <w:rPr>
          <w:rFonts w:ascii="Arial" w:hAnsi="Arial" w:cs="Arial"/>
          <w:lang w:eastAsia="en-AU"/>
        </w:rPr>
        <w:t xml:space="preserve">). </w:t>
      </w:r>
      <w:r w:rsidRPr="00AC343E">
        <w:rPr>
          <w:rFonts w:ascii="Arial" w:hAnsi="Arial" w:cs="Arial"/>
          <w:i/>
          <w:lang w:eastAsia="en-AU"/>
        </w:rPr>
        <w:t>British Journal of Nutrition</w:t>
      </w:r>
      <w:r>
        <w:rPr>
          <w:rFonts w:ascii="Arial" w:hAnsi="Arial" w:cs="Arial"/>
          <w:b/>
          <w:lang w:eastAsia="en-AU"/>
        </w:rPr>
        <w:t xml:space="preserve"> </w:t>
      </w:r>
      <w:r>
        <w:rPr>
          <w:rFonts w:ascii="Arial" w:hAnsi="Arial" w:cs="Arial"/>
          <w:lang w:eastAsia="en-AU"/>
        </w:rPr>
        <w:t>103: 1594-1601.</w:t>
      </w:r>
    </w:p>
    <w:p w:rsidR="004F0795" w:rsidRDefault="004F0795" w:rsidP="00E82173">
      <w:pPr>
        <w:rPr>
          <w:rFonts w:ascii="Arial" w:hAnsi="Arial" w:cs="Arial"/>
          <w:lang w:eastAsia="en-AU"/>
        </w:rPr>
      </w:pPr>
    </w:p>
    <w:p w:rsidR="004F0795" w:rsidRPr="004F0795" w:rsidRDefault="00695110" w:rsidP="00695110">
      <w:pPr>
        <w:rPr>
          <w:rFonts w:ascii="Arial" w:hAnsi="Arial" w:cs="Arial"/>
          <w:lang w:eastAsia="en-AU"/>
        </w:rPr>
      </w:pPr>
      <w:r>
        <w:rPr>
          <w:rFonts w:ascii="Arial" w:hAnsi="Arial" w:cs="Arial"/>
          <w:lang w:eastAsia="en-AU"/>
        </w:rPr>
        <w:t xml:space="preserve">Hurst R, </w:t>
      </w:r>
      <w:proofErr w:type="spellStart"/>
      <w:r>
        <w:rPr>
          <w:rFonts w:ascii="Arial" w:hAnsi="Arial" w:cs="Arial"/>
          <w:lang w:eastAsia="en-AU"/>
        </w:rPr>
        <w:t>Siyame</w:t>
      </w:r>
      <w:proofErr w:type="spellEnd"/>
      <w:r>
        <w:rPr>
          <w:rFonts w:ascii="Arial" w:hAnsi="Arial" w:cs="Arial"/>
          <w:lang w:eastAsia="en-AU"/>
        </w:rPr>
        <w:t xml:space="preserve"> EW</w:t>
      </w:r>
      <w:r w:rsidR="004F0795" w:rsidRPr="004F0795">
        <w:rPr>
          <w:rFonts w:ascii="Arial" w:hAnsi="Arial" w:cs="Arial"/>
          <w:lang w:eastAsia="en-AU"/>
        </w:rPr>
        <w:t>,</w:t>
      </w:r>
      <w:r>
        <w:rPr>
          <w:rFonts w:ascii="Arial" w:hAnsi="Arial" w:cs="Arial"/>
          <w:lang w:eastAsia="en-AU"/>
        </w:rPr>
        <w:t xml:space="preserve"> Young SD, Chilimba AD, Joy EJ, Black CR</w:t>
      </w:r>
      <w:r w:rsidR="004F0795" w:rsidRPr="004F0795">
        <w:rPr>
          <w:rFonts w:ascii="Arial" w:hAnsi="Arial" w:cs="Arial"/>
          <w:lang w:eastAsia="en-AU"/>
        </w:rPr>
        <w:t xml:space="preserve"> </w:t>
      </w:r>
      <w:r w:rsidR="004F0795" w:rsidRPr="004F0795">
        <w:rPr>
          <w:rFonts w:ascii="Arial" w:hAnsi="Arial" w:cs="Arial"/>
          <w:i/>
          <w:lang w:eastAsia="en-AU"/>
        </w:rPr>
        <w:t>et al</w:t>
      </w:r>
      <w:r w:rsidR="004F0795" w:rsidRPr="004F0795">
        <w:rPr>
          <w:rFonts w:ascii="Arial" w:hAnsi="Arial" w:cs="Arial"/>
          <w:lang w:eastAsia="en-AU"/>
        </w:rPr>
        <w:t xml:space="preserve">. 2013. Soil-type influences human selenium status and underlies widespread selenium deficiency risks in Malawi. </w:t>
      </w:r>
      <w:r w:rsidR="004F0795" w:rsidRPr="004F0795">
        <w:rPr>
          <w:rFonts w:ascii="Arial" w:hAnsi="Arial" w:cs="Arial"/>
          <w:i/>
          <w:lang w:eastAsia="en-AU"/>
        </w:rPr>
        <w:t xml:space="preserve">Scientific Reports </w:t>
      </w:r>
      <w:r w:rsidR="004F0795" w:rsidRPr="004F0795">
        <w:rPr>
          <w:rFonts w:ascii="Arial" w:hAnsi="Arial" w:cs="Arial"/>
          <w:lang w:eastAsia="en-AU"/>
        </w:rPr>
        <w:t xml:space="preserve">3: 1425. </w:t>
      </w:r>
      <w:proofErr w:type="spellStart"/>
      <w:proofErr w:type="gramStart"/>
      <w:r w:rsidR="004F0795" w:rsidRPr="004F0795">
        <w:rPr>
          <w:rFonts w:ascii="Arial" w:hAnsi="Arial" w:cs="Arial"/>
          <w:lang w:eastAsia="en-AU"/>
        </w:rPr>
        <w:t>doi</w:t>
      </w:r>
      <w:proofErr w:type="spellEnd"/>
      <w:proofErr w:type="gramEnd"/>
      <w:r w:rsidR="004F0795" w:rsidRPr="004F0795">
        <w:rPr>
          <w:rFonts w:ascii="Arial" w:hAnsi="Arial" w:cs="Arial"/>
          <w:lang w:eastAsia="en-AU"/>
        </w:rPr>
        <w:t>: 10.1038/srep01425.</w:t>
      </w:r>
    </w:p>
    <w:p w:rsidR="00AC343E" w:rsidRDefault="00AC343E" w:rsidP="00E82173">
      <w:pPr>
        <w:rPr>
          <w:rFonts w:ascii="Arial" w:hAnsi="Arial" w:cs="Arial"/>
          <w:lang w:eastAsia="en-AU"/>
        </w:rPr>
      </w:pPr>
    </w:p>
    <w:p w:rsidR="00AC343E" w:rsidRPr="00AC343E" w:rsidRDefault="00AC343E" w:rsidP="00E82173">
      <w:pPr>
        <w:rPr>
          <w:rFonts w:ascii="Arial" w:hAnsi="Arial" w:cs="Arial"/>
          <w:lang w:eastAsia="en-AU"/>
        </w:rPr>
      </w:pPr>
      <w:proofErr w:type="spellStart"/>
      <w:r>
        <w:rPr>
          <w:rFonts w:ascii="Arial" w:hAnsi="Arial" w:cs="Arial"/>
          <w:lang w:eastAsia="en-AU"/>
        </w:rPr>
        <w:t>Mbikay</w:t>
      </w:r>
      <w:proofErr w:type="spellEnd"/>
      <w:r>
        <w:rPr>
          <w:rFonts w:ascii="Arial" w:hAnsi="Arial" w:cs="Arial"/>
          <w:lang w:eastAsia="en-AU"/>
        </w:rPr>
        <w:t xml:space="preserve"> M 2012. Therapeutic potential of </w:t>
      </w:r>
      <w:proofErr w:type="spellStart"/>
      <w:r>
        <w:rPr>
          <w:rFonts w:ascii="Arial" w:hAnsi="Arial" w:cs="Arial"/>
          <w:i/>
          <w:lang w:eastAsia="en-AU"/>
        </w:rPr>
        <w:t>Moringa</w:t>
      </w:r>
      <w:proofErr w:type="spellEnd"/>
      <w:r>
        <w:rPr>
          <w:rFonts w:ascii="Arial" w:hAnsi="Arial" w:cs="Arial"/>
          <w:i/>
          <w:lang w:eastAsia="en-AU"/>
        </w:rPr>
        <w:t xml:space="preserve"> </w:t>
      </w:r>
      <w:proofErr w:type="spellStart"/>
      <w:r>
        <w:rPr>
          <w:rFonts w:ascii="Arial" w:hAnsi="Arial" w:cs="Arial"/>
          <w:i/>
          <w:lang w:eastAsia="en-AU"/>
        </w:rPr>
        <w:t>oleifera</w:t>
      </w:r>
      <w:proofErr w:type="spellEnd"/>
      <w:r>
        <w:rPr>
          <w:rFonts w:ascii="Arial" w:hAnsi="Arial" w:cs="Arial"/>
          <w:i/>
          <w:lang w:eastAsia="en-AU"/>
        </w:rPr>
        <w:t xml:space="preserve"> </w:t>
      </w:r>
      <w:r>
        <w:rPr>
          <w:rFonts w:ascii="Arial" w:hAnsi="Arial" w:cs="Arial"/>
          <w:lang w:eastAsia="en-AU"/>
        </w:rPr>
        <w:t xml:space="preserve">leaves in chronic </w:t>
      </w:r>
      <w:proofErr w:type="spellStart"/>
      <w:r>
        <w:rPr>
          <w:rFonts w:ascii="Arial" w:hAnsi="Arial" w:cs="Arial"/>
          <w:lang w:eastAsia="en-AU"/>
        </w:rPr>
        <w:t>hyperglycemia</w:t>
      </w:r>
      <w:proofErr w:type="spellEnd"/>
      <w:r>
        <w:rPr>
          <w:rFonts w:ascii="Arial" w:hAnsi="Arial" w:cs="Arial"/>
          <w:lang w:eastAsia="en-AU"/>
        </w:rPr>
        <w:t xml:space="preserve"> and </w:t>
      </w:r>
      <w:proofErr w:type="spellStart"/>
      <w:r>
        <w:rPr>
          <w:rFonts w:ascii="Arial" w:hAnsi="Arial" w:cs="Arial"/>
          <w:lang w:eastAsia="en-AU"/>
        </w:rPr>
        <w:t>dyslipidemia</w:t>
      </w:r>
      <w:proofErr w:type="spellEnd"/>
      <w:r>
        <w:rPr>
          <w:rFonts w:ascii="Arial" w:hAnsi="Arial" w:cs="Arial"/>
          <w:lang w:eastAsia="en-AU"/>
        </w:rPr>
        <w:t xml:space="preserve">: a review. </w:t>
      </w:r>
      <w:r>
        <w:rPr>
          <w:rFonts w:ascii="Arial" w:hAnsi="Arial" w:cs="Arial"/>
          <w:i/>
          <w:lang w:eastAsia="en-AU"/>
        </w:rPr>
        <w:t xml:space="preserve">Frontiers in Pharmacology </w:t>
      </w:r>
      <w:r>
        <w:rPr>
          <w:rFonts w:ascii="Arial" w:hAnsi="Arial" w:cs="Arial"/>
          <w:lang w:eastAsia="en-AU"/>
        </w:rPr>
        <w:t>3(24): 1-12.</w:t>
      </w:r>
    </w:p>
    <w:p w:rsidR="00D84B2B" w:rsidRDefault="00D84B2B" w:rsidP="00E82173">
      <w:pPr>
        <w:rPr>
          <w:rFonts w:ascii="Arial" w:hAnsi="Arial" w:cs="Arial"/>
          <w:lang w:eastAsia="en-AU"/>
        </w:rPr>
      </w:pPr>
    </w:p>
    <w:p w:rsidR="00E73C16" w:rsidRDefault="00E73C16" w:rsidP="00E82173">
      <w:pPr>
        <w:rPr>
          <w:rFonts w:ascii="Arial" w:hAnsi="Arial" w:cs="Arial"/>
          <w:lang w:eastAsia="en-AU"/>
        </w:rPr>
      </w:pPr>
      <w:r>
        <w:rPr>
          <w:rFonts w:ascii="Arial" w:hAnsi="Arial" w:cs="Arial"/>
          <w:lang w:eastAsia="en-AU"/>
        </w:rPr>
        <w:t xml:space="preserve">Reuter DJ, Robinson JB 1997. </w:t>
      </w:r>
      <w:r w:rsidRPr="00E2761A">
        <w:rPr>
          <w:rFonts w:ascii="Arial" w:hAnsi="Arial" w:cs="Arial"/>
          <w:i/>
          <w:lang w:eastAsia="en-AU"/>
        </w:rPr>
        <w:t xml:space="preserve">Plant analysis: an interpretation manual. </w:t>
      </w:r>
      <w:proofErr w:type="gramStart"/>
      <w:r w:rsidRPr="00E2761A">
        <w:rPr>
          <w:rFonts w:ascii="Arial" w:hAnsi="Arial" w:cs="Arial"/>
          <w:lang w:eastAsia="en-AU"/>
        </w:rPr>
        <w:t>2</w:t>
      </w:r>
      <w:r w:rsidRPr="00E2761A">
        <w:rPr>
          <w:rFonts w:ascii="Arial" w:hAnsi="Arial" w:cs="Arial"/>
          <w:vertAlign w:val="superscript"/>
          <w:lang w:eastAsia="en-AU"/>
        </w:rPr>
        <w:t>nd</w:t>
      </w:r>
      <w:r w:rsidR="00D84B2B" w:rsidRPr="00E2761A">
        <w:rPr>
          <w:rFonts w:ascii="Arial" w:hAnsi="Arial" w:cs="Arial"/>
          <w:lang w:eastAsia="en-AU"/>
        </w:rPr>
        <w:t xml:space="preserve"> edition.</w:t>
      </w:r>
      <w:proofErr w:type="gramEnd"/>
      <w:r w:rsidR="00D84B2B">
        <w:rPr>
          <w:rFonts w:ascii="Arial" w:hAnsi="Arial" w:cs="Arial"/>
          <w:lang w:eastAsia="en-AU"/>
        </w:rPr>
        <w:t xml:space="preserve">  Melbourne</w:t>
      </w:r>
      <w:r>
        <w:rPr>
          <w:rFonts w:ascii="Arial" w:hAnsi="Arial" w:cs="Arial"/>
          <w:lang w:eastAsia="en-AU"/>
        </w:rPr>
        <w:t>: CSIRO Publishing.</w:t>
      </w:r>
    </w:p>
    <w:p w:rsidR="004F0795" w:rsidRDefault="004F0795" w:rsidP="00E82173">
      <w:pPr>
        <w:rPr>
          <w:rFonts w:ascii="Arial" w:hAnsi="Arial" w:cs="Arial"/>
          <w:lang w:eastAsia="en-AU"/>
        </w:rPr>
      </w:pPr>
    </w:p>
    <w:p w:rsidR="004F0795" w:rsidRDefault="00695110" w:rsidP="004F0795">
      <w:pPr>
        <w:rPr>
          <w:rFonts w:ascii="Arial" w:hAnsi="Arial" w:cs="Arial"/>
          <w:lang w:eastAsia="en-AU"/>
        </w:rPr>
      </w:pPr>
      <w:proofErr w:type="spellStart"/>
      <w:r>
        <w:rPr>
          <w:rFonts w:ascii="Arial" w:hAnsi="Arial" w:cs="Arial"/>
          <w:lang w:eastAsia="en-AU"/>
        </w:rPr>
        <w:lastRenderedPageBreak/>
        <w:t>Vanderpas</w:t>
      </w:r>
      <w:proofErr w:type="spellEnd"/>
      <w:r>
        <w:rPr>
          <w:rFonts w:ascii="Arial" w:hAnsi="Arial" w:cs="Arial"/>
          <w:lang w:eastAsia="en-AU"/>
        </w:rPr>
        <w:t xml:space="preserve"> JB, </w:t>
      </w:r>
      <w:proofErr w:type="spellStart"/>
      <w:r>
        <w:rPr>
          <w:rFonts w:ascii="Arial" w:hAnsi="Arial" w:cs="Arial"/>
          <w:lang w:eastAsia="en-AU"/>
        </w:rPr>
        <w:t>Contempre</w:t>
      </w:r>
      <w:proofErr w:type="spellEnd"/>
      <w:r>
        <w:rPr>
          <w:rFonts w:ascii="Arial" w:hAnsi="Arial" w:cs="Arial"/>
          <w:lang w:eastAsia="en-AU"/>
        </w:rPr>
        <w:t xml:space="preserve"> B, </w:t>
      </w:r>
      <w:proofErr w:type="spellStart"/>
      <w:r>
        <w:rPr>
          <w:rFonts w:ascii="Arial" w:hAnsi="Arial" w:cs="Arial"/>
          <w:lang w:eastAsia="en-AU"/>
        </w:rPr>
        <w:t>Duale</w:t>
      </w:r>
      <w:proofErr w:type="spellEnd"/>
      <w:r>
        <w:rPr>
          <w:rFonts w:ascii="Arial" w:hAnsi="Arial" w:cs="Arial"/>
          <w:lang w:eastAsia="en-AU"/>
        </w:rPr>
        <w:t xml:space="preserve"> NL, </w:t>
      </w:r>
      <w:proofErr w:type="spellStart"/>
      <w:r>
        <w:rPr>
          <w:rFonts w:ascii="Arial" w:hAnsi="Arial" w:cs="Arial"/>
          <w:lang w:eastAsia="en-AU"/>
        </w:rPr>
        <w:t>Goossens</w:t>
      </w:r>
      <w:proofErr w:type="spellEnd"/>
      <w:r>
        <w:rPr>
          <w:rFonts w:ascii="Arial" w:hAnsi="Arial" w:cs="Arial"/>
          <w:lang w:eastAsia="en-AU"/>
        </w:rPr>
        <w:t xml:space="preserve"> W, </w:t>
      </w:r>
      <w:proofErr w:type="spellStart"/>
      <w:r>
        <w:rPr>
          <w:rFonts w:ascii="Arial" w:hAnsi="Arial" w:cs="Arial"/>
          <w:lang w:eastAsia="en-AU"/>
        </w:rPr>
        <w:t>Bebe</w:t>
      </w:r>
      <w:proofErr w:type="spellEnd"/>
      <w:r>
        <w:rPr>
          <w:rFonts w:ascii="Arial" w:hAnsi="Arial" w:cs="Arial"/>
          <w:lang w:eastAsia="en-AU"/>
        </w:rPr>
        <w:t xml:space="preserve"> N, Thorpe R</w:t>
      </w:r>
      <w:r w:rsidR="004F0795" w:rsidRPr="004F0795">
        <w:rPr>
          <w:rFonts w:ascii="Arial" w:hAnsi="Arial" w:cs="Arial"/>
          <w:lang w:eastAsia="en-AU"/>
        </w:rPr>
        <w:t xml:space="preserve"> </w:t>
      </w:r>
      <w:r w:rsidR="004F0795" w:rsidRPr="004F0795">
        <w:rPr>
          <w:rFonts w:ascii="Arial" w:hAnsi="Arial" w:cs="Arial"/>
          <w:i/>
          <w:lang w:eastAsia="en-AU"/>
        </w:rPr>
        <w:t>et al</w:t>
      </w:r>
      <w:r w:rsidR="004F0795" w:rsidRPr="004F0795">
        <w:rPr>
          <w:rFonts w:ascii="Arial" w:hAnsi="Arial" w:cs="Arial"/>
          <w:lang w:eastAsia="en-AU"/>
        </w:rPr>
        <w:t xml:space="preserve">. 1990. Iodine and selenium deficiency associated with cretinism in northern Zaire. </w:t>
      </w:r>
      <w:r w:rsidR="004F0795" w:rsidRPr="004F0795">
        <w:rPr>
          <w:rFonts w:ascii="Arial" w:hAnsi="Arial" w:cs="Arial"/>
          <w:i/>
          <w:lang w:eastAsia="en-AU"/>
        </w:rPr>
        <w:t xml:space="preserve">American Journal of Clinical Nutrition </w:t>
      </w:r>
      <w:r w:rsidR="004F0795" w:rsidRPr="004F0795">
        <w:rPr>
          <w:rFonts w:ascii="Arial" w:hAnsi="Arial" w:cs="Arial"/>
          <w:lang w:eastAsia="en-AU"/>
        </w:rPr>
        <w:t>52: 1087-1093.</w:t>
      </w:r>
    </w:p>
    <w:p w:rsidR="004F0795" w:rsidRDefault="004F0795" w:rsidP="004F0795">
      <w:pPr>
        <w:ind w:left="270" w:hanging="270"/>
        <w:rPr>
          <w:rFonts w:ascii="Arial" w:hAnsi="Arial" w:cs="Arial"/>
          <w:lang w:eastAsia="en-AU"/>
        </w:rPr>
      </w:pPr>
    </w:p>
    <w:p w:rsidR="004F0795" w:rsidRDefault="00695110" w:rsidP="004F0795">
      <w:pPr>
        <w:rPr>
          <w:rFonts w:ascii="Arial" w:hAnsi="Arial" w:cs="Arial"/>
        </w:rPr>
      </w:pPr>
      <w:r>
        <w:rPr>
          <w:rFonts w:ascii="Arial" w:hAnsi="Arial" w:cs="Arial"/>
        </w:rPr>
        <w:t xml:space="preserve">Van </w:t>
      </w:r>
      <w:proofErr w:type="spellStart"/>
      <w:r>
        <w:rPr>
          <w:rFonts w:ascii="Arial" w:hAnsi="Arial" w:cs="Arial"/>
        </w:rPr>
        <w:t>Lettow</w:t>
      </w:r>
      <w:proofErr w:type="spellEnd"/>
      <w:r>
        <w:rPr>
          <w:rFonts w:ascii="Arial" w:hAnsi="Arial" w:cs="Arial"/>
        </w:rPr>
        <w:t xml:space="preserve"> M, </w:t>
      </w:r>
      <w:proofErr w:type="spellStart"/>
      <w:r>
        <w:rPr>
          <w:rFonts w:ascii="Arial" w:hAnsi="Arial" w:cs="Arial"/>
        </w:rPr>
        <w:t>Ha</w:t>
      </w:r>
      <w:r w:rsidR="00211718">
        <w:rPr>
          <w:rFonts w:ascii="Arial" w:hAnsi="Arial" w:cs="Arial"/>
        </w:rPr>
        <w:t>rrie</w:t>
      </w:r>
      <w:proofErr w:type="spellEnd"/>
      <w:r w:rsidR="00211718">
        <w:rPr>
          <w:rFonts w:ascii="Arial" w:hAnsi="Arial" w:cs="Arial"/>
        </w:rPr>
        <w:t xml:space="preserve"> A.D, </w:t>
      </w:r>
      <w:proofErr w:type="spellStart"/>
      <w:r w:rsidR="00211718">
        <w:rPr>
          <w:rFonts w:ascii="Arial" w:hAnsi="Arial" w:cs="Arial"/>
        </w:rPr>
        <w:t>Kumwenda</w:t>
      </w:r>
      <w:proofErr w:type="spellEnd"/>
      <w:r w:rsidR="00211718">
        <w:rPr>
          <w:rFonts w:ascii="Arial" w:hAnsi="Arial" w:cs="Arial"/>
        </w:rPr>
        <w:t xml:space="preserve"> JJ, </w:t>
      </w:r>
      <w:proofErr w:type="spellStart"/>
      <w:r w:rsidR="00211718">
        <w:rPr>
          <w:rFonts w:ascii="Arial" w:hAnsi="Arial" w:cs="Arial"/>
        </w:rPr>
        <w:t>Zijlstra</w:t>
      </w:r>
      <w:proofErr w:type="spellEnd"/>
      <w:r w:rsidR="00211718">
        <w:rPr>
          <w:rFonts w:ascii="Arial" w:hAnsi="Arial" w:cs="Arial"/>
        </w:rPr>
        <w:t xml:space="preserve"> </w:t>
      </w:r>
      <w:r>
        <w:rPr>
          <w:rFonts w:ascii="Arial" w:hAnsi="Arial" w:cs="Arial"/>
        </w:rPr>
        <w:t>E</w:t>
      </w:r>
      <w:r w:rsidR="00211718">
        <w:rPr>
          <w:rFonts w:ascii="Arial" w:hAnsi="Arial" w:cs="Arial"/>
        </w:rPr>
        <w:t xml:space="preserve">E, Clark TD, </w:t>
      </w:r>
      <w:proofErr w:type="spellStart"/>
      <w:r w:rsidR="00211718">
        <w:rPr>
          <w:rFonts w:ascii="Arial" w:hAnsi="Arial" w:cs="Arial"/>
        </w:rPr>
        <w:t>Taha</w:t>
      </w:r>
      <w:proofErr w:type="spellEnd"/>
      <w:r w:rsidR="00211718">
        <w:rPr>
          <w:rFonts w:ascii="Arial" w:hAnsi="Arial" w:cs="Arial"/>
        </w:rPr>
        <w:t xml:space="preserve"> TE, </w:t>
      </w:r>
      <w:proofErr w:type="spellStart"/>
      <w:r w:rsidR="00211718">
        <w:rPr>
          <w:rFonts w:ascii="Arial" w:hAnsi="Arial" w:cs="Arial"/>
        </w:rPr>
        <w:t>Semba</w:t>
      </w:r>
      <w:proofErr w:type="spellEnd"/>
      <w:r w:rsidR="00211718">
        <w:rPr>
          <w:rFonts w:ascii="Arial" w:hAnsi="Arial" w:cs="Arial"/>
        </w:rPr>
        <w:t xml:space="preserve"> R</w:t>
      </w:r>
      <w:r w:rsidR="004F0795" w:rsidRPr="004F0795">
        <w:rPr>
          <w:rFonts w:ascii="Arial" w:hAnsi="Arial" w:cs="Arial"/>
        </w:rPr>
        <w:t xml:space="preserve">D.  2004. Micronutrient malnutrition and wasting in adults with pulmonary tuberculosis with and without HIV co-infection in Malawi. </w:t>
      </w:r>
      <w:r w:rsidR="004F0795" w:rsidRPr="004F0795">
        <w:rPr>
          <w:rFonts w:ascii="Arial" w:hAnsi="Arial" w:cs="Arial"/>
          <w:i/>
        </w:rPr>
        <w:t xml:space="preserve">BMC Infectious Diseases </w:t>
      </w:r>
      <w:r w:rsidR="004F0795" w:rsidRPr="004F0795">
        <w:rPr>
          <w:rFonts w:ascii="Arial" w:hAnsi="Arial" w:cs="Arial"/>
        </w:rPr>
        <w:t xml:space="preserve">4: 61 </w:t>
      </w:r>
      <w:proofErr w:type="spellStart"/>
      <w:r w:rsidR="004F0795" w:rsidRPr="004F0795">
        <w:rPr>
          <w:rFonts w:ascii="Arial" w:hAnsi="Arial" w:cs="Arial"/>
        </w:rPr>
        <w:t>doi</w:t>
      </w:r>
      <w:proofErr w:type="spellEnd"/>
      <w:r w:rsidR="004F0795" w:rsidRPr="004F0795">
        <w:rPr>
          <w:rFonts w:ascii="Arial" w:hAnsi="Arial" w:cs="Arial"/>
        </w:rPr>
        <w:t>: 10.1186/1471-2334-4-61.</w:t>
      </w:r>
    </w:p>
    <w:p w:rsidR="00F57A62" w:rsidRDefault="00F57A62" w:rsidP="004F0795">
      <w:pPr>
        <w:rPr>
          <w:rFonts w:ascii="Arial" w:hAnsi="Arial" w:cs="Arial"/>
        </w:rPr>
      </w:pPr>
    </w:p>
    <w:p w:rsidR="00F57A62" w:rsidRDefault="00F57A62" w:rsidP="004F0795">
      <w:pPr>
        <w:rPr>
          <w:rFonts w:ascii="Arial" w:hAnsi="Arial" w:cs="Arial"/>
        </w:rPr>
      </w:pPr>
    </w:p>
    <w:p w:rsidR="00F57A62" w:rsidRPr="004F0795" w:rsidRDefault="00F57A62" w:rsidP="004F0795">
      <w:pPr>
        <w:rPr>
          <w:rFonts w:ascii="Arial" w:hAnsi="Arial" w:cs="Arial"/>
        </w:rPr>
      </w:pPr>
    </w:p>
    <w:sectPr w:rsidR="00F57A62" w:rsidRPr="004F0795" w:rsidSect="00FF7ED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E82173"/>
    <w:rsid w:val="00001819"/>
    <w:rsid w:val="00086AE9"/>
    <w:rsid w:val="000D10F0"/>
    <w:rsid w:val="000F7B68"/>
    <w:rsid w:val="00131466"/>
    <w:rsid w:val="00146A74"/>
    <w:rsid w:val="001A7E2A"/>
    <w:rsid w:val="002005AD"/>
    <w:rsid w:val="00211718"/>
    <w:rsid w:val="002215F2"/>
    <w:rsid w:val="0026125E"/>
    <w:rsid w:val="002A0FD1"/>
    <w:rsid w:val="002A1DD7"/>
    <w:rsid w:val="002C3BBA"/>
    <w:rsid w:val="002F312B"/>
    <w:rsid w:val="0035575B"/>
    <w:rsid w:val="003B0524"/>
    <w:rsid w:val="003B14CD"/>
    <w:rsid w:val="003D4D8D"/>
    <w:rsid w:val="003D7E93"/>
    <w:rsid w:val="003E3909"/>
    <w:rsid w:val="0046569E"/>
    <w:rsid w:val="0049367B"/>
    <w:rsid w:val="004F0795"/>
    <w:rsid w:val="005040D5"/>
    <w:rsid w:val="005051F2"/>
    <w:rsid w:val="00576743"/>
    <w:rsid w:val="005A6823"/>
    <w:rsid w:val="005D4375"/>
    <w:rsid w:val="00605F30"/>
    <w:rsid w:val="0063614A"/>
    <w:rsid w:val="00691DDA"/>
    <w:rsid w:val="00695110"/>
    <w:rsid w:val="006C0C09"/>
    <w:rsid w:val="00716159"/>
    <w:rsid w:val="007B455A"/>
    <w:rsid w:val="007D7CB2"/>
    <w:rsid w:val="008F6DD4"/>
    <w:rsid w:val="009C2A07"/>
    <w:rsid w:val="009C6DC5"/>
    <w:rsid w:val="009E2E85"/>
    <w:rsid w:val="00A02D16"/>
    <w:rsid w:val="00AC343E"/>
    <w:rsid w:val="00B126AA"/>
    <w:rsid w:val="00B318F2"/>
    <w:rsid w:val="00B4384A"/>
    <w:rsid w:val="00B457D8"/>
    <w:rsid w:val="00B9567C"/>
    <w:rsid w:val="00C02158"/>
    <w:rsid w:val="00C22249"/>
    <w:rsid w:val="00C22FDA"/>
    <w:rsid w:val="00C55168"/>
    <w:rsid w:val="00CA4CB8"/>
    <w:rsid w:val="00CB1B84"/>
    <w:rsid w:val="00CC2917"/>
    <w:rsid w:val="00D84B2B"/>
    <w:rsid w:val="00E06EB9"/>
    <w:rsid w:val="00E20B19"/>
    <w:rsid w:val="00E2761A"/>
    <w:rsid w:val="00E4479A"/>
    <w:rsid w:val="00E73C16"/>
    <w:rsid w:val="00E82173"/>
    <w:rsid w:val="00EC7917"/>
    <w:rsid w:val="00EE79DF"/>
    <w:rsid w:val="00EF3898"/>
    <w:rsid w:val="00EF4F05"/>
    <w:rsid w:val="00F07F75"/>
    <w:rsid w:val="00F57A62"/>
    <w:rsid w:val="00F91D6B"/>
    <w:rsid w:val="00FF7ED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ED0"/>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next w:val="Normal"/>
    <w:rsid w:val="00086AE9"/>
    <w:pPr>
      <w:suppressAutoHyphens/>
      <w:overflowPunct w:val="0"/>
      <w:autoSpaceDE w:val="0"/>
      <w:autoSpaceDN w:val="0"/>
      <w:adjustRightInd w:val="0"/>
      <w:spacing w:after="100" w:line="260" w:lineRule="exact"/>
      <w:jc w:val="both"/>
      <w:textAlignment w:val="baseline"/>
    </w:pPr>
    <w:rPr>
      <w:i/>
      <w:szCs w:val="20"/>
      <w:lang w:val="en-US"/>
    </w:rPr>
  </w:style>
  <w:style w:type="table" w:styleId="TableGrid">
    <w:name w:val="Table Grid"/>
    <w:basedOn w:val="TableNormal"/>
    <w:rsid w:val="00F57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EF389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788626511">
      <w:bodyDiv w:val="1"/>
      <w:marLeft w:val="0"/>
      <w:marRight w:val="0"/>
      <w:marTop w:val="0"/>
      <w:marBottom w:val="0"/>
      <w:divBdr>
        <w:top w:val="none" w:sz="0" w:space="0" w:color="auto"/>
        <w:left w:val="none" w:sz="0" w:space="0" w:color="auto"/>
        <w:bottom w:val="none" w:sz="0" w:space="0" w:color="auto"/>
        <w:right w:val="none" w:sz="0" w:space="0" w:color="auto"/>
      </w:divBdr>
    </w:div>
    <w:div w:id="21127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1529</Words>
  <Characters>8507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a1066999</dc:creator>
  <cp:lastModifiedBy>a1066999</cp:lastModifiedBy>
  <cp:revision>3</cp:revision>
  <dcterms:created xsi:type="dcterms:W3CDTF">2013-12-05T23:24:00Z</dcterms:created>
  <dcterms:modified xsi:type="dcterms:W3CDTF">2013-12-06T00:20:00Z</dcterms:modified>
</cp:coreProperties>
</file>