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C9" w:rsidRDefault="00C16FC9" w:rsidP="00C16FC9">
      <w:pPr>
        <w:pStyle w:val="ListParagraph"/>
        <w:shd w:val="clear" w:color="auto" w:fill="FFFFFF" w:themeFill="background1"/>
        <w:spacing w:after="0"/>
        <w:ind w:left="0" w:right="1700"/>
        <w:rPr>
          <w:rFonts w:ascii="Garamond" w:hAnsi="Garamond"/>
          <w:i/>
          <w:color w:val="FF0000"/>
          <w:sz w:val="24"/>
          <w:szCs w:val="24"/>
          <w:lang w:val="en-US"/>
        </w:rPr>
      </w:pPr>
    </w:p>
    <w:tbl>
      <w:tblPr>
        <w:tblW w:w="4667" w:type="pct"/>
        <w:tblCellSpacing w:w="0" w:type="dxa"/>
        <w:shd w:val="clear" w:color="auto" w:fill="002060"/>
        <w:tblCellMar>
          <w:left w:w="0" w:type="dxa"/>
          <w:right w:w="0" w:type="dxa"/>
        </w:tblCellMar>
        <w:tblLook w:val="0000"/>
      </w:tblPr>
      <w:tblGrid>
        <w:gridCol w:w="7938"/>
      </w:tblGrid>
      <w:tr w:rsidR="00C16FC9" w:rsidRPr="001A03C0" w:rsidTr="006274BF">
        <w:trPr>
          <w:trHeight w:val="80"/>
          <w:tblCellSpacing w:w="0" w:type="dxa"/>
        </w:trPr>
        <w:tc>
          <w:tcPr>
            <w:tcW w:w="5000" w:type="pct"/>
            <w:shd w:val="clear" w:color="auto" w:fill="002060"/>
            <w:vAlign w:val="center"/>
          </w:tcPr>
          <w:p w:rsidR="00C16FC9" w:rsidRDefault="00C16FC9" w:rsidP="006274BF">
            <w:pPr>
              <w:tabs>
                <w:tab w:val="left" w:pos="8080"/>
                <w:tab w:val="left" w:pos="8222"/>
              </w:tabs>
              <w:ind w:right="566"/>
              <w:rPr>
                <w:rFonts w:ascii="Garamond" w:hAnsi="Garamond"/>
                <w:i/>
                <w:noProof/>
                <w:color w:val="FFFFFF"/>
                <w:sz w:val="36"/>
                <w:szCs w:val="36"/>
                <w:lang w:val="en-US" w:eastAsia="pt-BR"/>
              </w:rPr>
            </w:pPr>
            <w:r>
              <w:rPr>
                <w:rFonts w:ascii="Garamond" w:hAnsi="Garamond"/>
                <w:i/>
                <w:noProof/>
                <w:color w:val="FFFFFF"/>
                <w:sz w:val="36"/>
                <w:szCs w:val="36"/>
                <w:lang w:val="en-US" w:eastAsia="pt-BR"/>
              </w:rPr>
              <w:t xml:space="preserve">   Vitamin A</w:t>
            </w:r>
          </w:p>
          <w:p w:rsidR="00C16FC9" w:rsidRPr="0092391D" w:rsidRDefault="00C16FC9" w:rsidP="006274BF">
            <w:pPr>
              <w:tabs>
                <w:tab w:val="left" w:pos="8080"/>
                <w:tab w:val="left" w:pos="8222"/>
              </w:tabs>
              <w:spacing w:line="360" w:lineRule="auto"/>
              <w:ind w:right="566"/>
              <w:rPr>
                <w:rFonts w:ascii="Franklin Gothic Heavy" w:hAnsi="Franklin Gothic Heavy"/>
                <w:color w:val="FFFFFF"/>
                <w:sz w:val="36"/>
                <w:szCs w:val="36"/>
                <w:lang w:val="en-US"/>
              </w:rPr>
            </w:pPr>
            <w:r>
              <w:rPr>
                <w:rFonts w:ascii="Franklin Gothic Heavy" w:hAnsi="Franklin Gothic Heavy"/>
                <w:color w:val="FFFFFF"/>
                <w:sz w:val="36"/>
                <w:szCs w:val="36"/>
                <w:lang w:val="en-US"/>
              </w:rPr>
              <w:t xml:space="preserve">   ‘Why weren’t we told this long ago?’ </w:t>
            </w:r>
          </w:p>
        </w:tc>
      </w:tr>
    </w:tbl>
    <w:p w:rsidR="00C16FC9" w:rsidRDefault="00C16FC9" w:rsidP="006274BF">
      <w:pPr>
        <w:tabs>
          <w:tab w:val="left" w:pos="1905"/>
        </w:tabs>
        <w:ind w:right="566"/>
        <w:rPr>
          <w:rFonts w:ascii="Franklin Gothic Book" w:hAnsi="Franklin Gothic Book"/>
          <w:b/>
          <w:sz w:val="16"/>
          <w:szCs w:val="16"/>
          <w:lang w:val="en-US"/>
        </w:rPr>
      </w:pPr>
      <w:r>
        <w:rPr>
          <w:rFonts w:ascii="Franklin Gothic Book" w:hAnsi="Franklin Gothic Book"/>
          <w:b/>
          <w:sz w:val="16"/>
          <w:szCs w:val="16"/>
          <w:lang w:val="en-US"/>
        </w:rPr>
        <w:tab/>
      </w:r>
    </w:p>
    <w:p w:rsidR="006274BF" w:rsidRDefault="00C16FC9" w:rsidP="006274BF">
      <w:pPr>
        <w:spacing w:line="276" w:lineRule="auto"/>
        <w:ind w:right="566"/>
        <w:rPr>
          <w:rFonts w:ascii="Garamond" w:hAnsi="Garamond"/>
          <w:b/>
          <w:i/>
          <w:sz w:val="22"/>
          <w:szCs w:val="22"/>
          <w:u w:val="single"/>
          <w:lang w:val="en-US"/>
        </w:rPr>
      </w:pPr>
      <w:r>
        <w:rPr>
          <w:rFonts w:ascii="Garamond" w:hAnsi="Garamond"/>
          <w:b/>
          <w:i/>
          <w:sz w:val="22"/>
          <w:szCs w:val="22"/>
          <w:u w:val="single"/>
          <w:lang w:val="en-US"/>
        </w:rPr>
        <w:t>Access May 2010 Michael Latham on Vitamin A her</w:t>
      </w:r>
      <w:r w:rsidR="006274BF">
        <w:rPr>
          <w:rFonts w:ascii="Garamond" w:hAnsi="Garamond"/>
          <w:b/>
          <w:i/>
          <w:sz w:val="22"/>
          <w:szCs w:val="22"/>
          <w:u w:val="single"/>
          <w:lang w:val="en-US"/>
        </w:rPr>
        <w:t>e</w:t>
      </w:r>
    </w:p>
    <w:p w:rsidR="00C16FC9" w:rsidRDefault="00C16FC9" w:rsidP="006274BF">
      <w:pPr>
        <w:spacing w:line="276" w:lineRule="auto"/>
        <w:ind w:right="566"/>
        <w:rPr>
          <w:rFonts w:ascii="Garamond" w:hAnsi="Garamond"/>
          <w:b/>
          <w:i/>
          <w:sz w:val="22"/>
          <w:szCs w:val="22"/>
          <w:u w:val="single"/>
          <w:lang w:val="en-US"/>
        </w:rPr>
      </w:pPr>
      <w:r w:rsidRPr="002F03F5">
        <w:rPr>
          <w:rFonts w:ascii="Garamond" w:hAnsi="Garamond"/>
          <w:b/>
          <w:i/>
          <w:sz w:val="22"/>
          <w:szCs w:val="22"/>
          <w:u w:val="single"/>
          <w:lang w:val="en-US"/>
        </w:rPr>
        <w:t>Access October 2014 IJE John Mason, Ted Greiner et al on Vitamin A her</w:t>
      </w:r>
      <w:r w:rsidR="006274BF">
        <w:rPr>
          <w:rFonts w:ascii="Garamond" w:hAnsi="Garamond"/>
          <w:b/>
          <w:i/>
          <w:sz w:val="22"/>
          <w:szCs w:val="22"/>
          <w:u w:val="single"/>
          <w:lang w:val="en-US"/>
        </w:rPr>
        <w:t>e</w:t>
      </w:r>
    </w:p>
    <w:p w:rsidR="00C16FC9" w:rsidRDefault="00C16FC9" w:rsidP="006274BF">
      <w:pPr>
        <w:tabs>
          <w:tab w:val="left" w:pos="7320"/>
        </w:tabs>
        <w:spacing w:line="276" w:lineRule="auto"/>
        <w:ind w:right="566"/>
        <w:rPr>
          <w:rFonts w:ascii="Garamond" w:hAnsi="Garamond"/>
          <w:b/>
          <w:i/>
          <w:sz w:val="22"/>
          <w:szCs w:val="22"/>
          <w:u w:val="single"/>
          <w:lang w:val="en-US"/>
        </w:rPr>
      </w:pPr>
      <w:r>
        <w:rPr>
          <w:rFonts w:ascii="Garamond" w:hAnsi="Garamond"/>
          <w:b/>
          <w:i/>
          <w:sz w:val="22"/>
          <w:szCs w:val="22"/>
          <w:u w:val="single"/>
          <w:lang w:val="en-US"/>
        </w:rPr>
        <w:t>Access November 2014 John Mason, Ted Greiner et al on Vitamin A her</w:t>
      </w:r>
      <w:r w:rsidR="006274BF">
        <w:rPr>
          <w:rFonts w:ascii="Garamond" w:hAnsi="Garamond"/>
          <w:b/>
          <w:i/>
          <w:sz w:val="22"/>
          <w:szCs w:val="22"/>
          <w:u w:val="single"/>
          <w:lang w:val="en-US"/>
        </w:rPr>
        <w:t>e</w:t>
      </w:r>
    </w:p>
    <w:p w:rsidR="00C16FC9" w:rsidRPr="00816B14" w:rsidRDefault="00C16FC9" w:rsidP="006274BF">
      <w:pPr>
        <w:pStyle w:val="Body"/>
        <w:spacing w:line="360" w:lineRule="auto"/>
        <w:ind w:right="566"/>
        <w:rPr>
          <w:rFonts w:ascii="Garamond" w:eastAsia="MS Mincho" w:hAnsi="Garamond" w:cs="Times New Roman"/>
          <w:b/>
          <w:i/>
          <w:kern w:val="28"/>
          <w:sz w:val="16"/>
          <w:szCs w:val="16"/>
          <w:u w:val="single"/>
          <w:bdr w:val="none" w:sz="0" w:space="0" w:color="auto"/>
          <w:lang w:eastAsia="ja-JP"/>
        </w:rPr>
      </w:pPr>
    </w:p>
    <w:p w:rsidR="00C16FC9" w:rsidRPr="00545B4C" w:rsidRDefault="00C16FC9" w:rsidP="006274BF">
      <w:pPr>
        <w:spacing w:line="360" w:lineRule="auto"/>
        <w:ind w:right="566"/>
        <w:rPr>
          <w:rFonts w:ascii="Garamond" w:hAnsi="Garamond"/>
          <w:b/>
          <w:i/>
          <w:sz w:val="24"/>
          <w:szCs w:val="24"/>
        </w:rPr>
      </w:pPr>
      <w:r w:rsidRPr="00545B4C">
        <w:rPr>
          <w:rFonts w:ascii="Garamond" w:hAnsi="Garamond"/>
          <w:b/>
          <w:i/>
          <w:sz w:val="24"/>
          <w:szCs w:val="24"/>
        </w:rPr>
        <w:t>Graham Lyons writes:</w:t>
      </w: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Congratulations to </w:t>
      </w:r>
      <w:r w:rsidRPr="00545B4C">
        <w:rPr>
          <w:rFonts w:ascii="Garamond" w:hAnsi="Garamond"/>
          <w:sz w:val="24"/>
          <w:szCs w:val="24"/>
        </w:rPr>
        <w:t>John Mason and his co-</w:t>
      </w:r>
      <w:r>
        <w:rPr>
          <w:rFonts w:ascii="Garamond" w:hAnsi="Garamond"/>
          <w:sz w:val="24"/>
          <w:szCs w:val="24"/>
        </w:rPr>
        <w:t>authors for</w:t>
      </w:r>
      <w:r w:rsidRPr="00545B4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‘</w:t>
      </w:r>
      <w:r w:rsidRPr="00545B4C">
        <w:rPr>
          <w:rFonts w:ascii="Garamond" w:hAnsi="Garamond"/>
          <w:sz w:val="24"/>
          <w:szCs w:val="24"/>
        </w:rPr>
        <w:t>Vitamin A policies need rethinking</w:t>
      </w:r>
      <w:r>
        <w:rPr>
          <w:rFonts w:ascii="Garamond" w:hAnsi="Garamond"/>
          <w:sz w:val="24"/>
          <w:szCs w:val="24"/>
        </w:rPr>
        <w:t>’</w:t>
      </w:r>
      <w:r w:rsidRPr="00545B4C">
        <w:rPr>
          <w:rFonts w:ascii="Garamond" w:hAnsi="Garamond"/>
          <w:sz w:val="24"/>
          <w:szCs w:val="24"/>
        </w:rPr>
        <w:t xml:space="preserve"> in the </w:t>
      </w:r>
      <w:r w:rsidRPr="00545B4C">
        <w:rPr>
          <w:rFonts w:ascii="Garamond" w:hAnsi="Garamond"/>
          <w:i/>
          <w:sz w:val="24"/>
          <w:szCs w:val="24"/>
        </w:rPr>
        <w:t xml:space="preserve">International Journal of Epidemiology </w:t>
      </w:r>
      <w:r w:rsidRPr="00545B4C">
        <w:rPr>
          <w:rFonts w:ascii="Garamond" w:hAnsi="Garamond"/>
          <w:sz w:val="24"/>
          <w:szCs w:val="24"/>
        </w:rPr>
        <w:t>(1)</w:t>
      </w:r>
      <w:r>
        <w:rPr>
          <w:rFonts w:ascii="Garamond" w:hAnsi="Garamond"/>
          <w:sz w:val="24"/>
          <w:szCs w:val="24"/>
        </w:rPr>
        <w:t xml:space="preserve"> and their </w:t>
      </w:r>
      <w:r w:rsidRPr="00545B4C">
        <w:rPr>
          <w:rFonts w:ascii="Garamond" w:hAnsi="Garamond"/>
          <w:sz w:val="24"/>
          <w:szCs w:val="24"/>
        </w:rPr>
        <w:t xml:space="preserve">commentary in </w:t>
      </w:r>
      <w:r w:rsidRPr="00545B4C">
        <w:rPr>
          <w:rFonts w:ascii="Garamond" w:hAnsi="Garamond"/>
          <w:i/>
          <w:sz w:val="24"/>
          <w:szCs w:val="24"/>
        </w:rPr>
        <w:t xml:space="preserve">World Nutrition </w:t>
      </w:r>
      <w:r w:rsidRPr="000F48FD">
        <w:rPr>
          <w:rFonts w:ascii="Garamond" w:hAnsi="Garamond"/>
          <w:sz w:val="24"/>
          <w:szCs w:val="24"/>
        </w:rPr>
        <w:t>(2) . This</w:t>
      </w:r>
      <w:r w:rsidRPr="00545B4C">
        <w:rPr>
          <w:rFonts w:ascii="Garamond" w:hAnsi="Garamond"/>
          <w:sz w:val="24"/>
          <w:szCs w:val="24"/>
        </w:rPr>
        <w:t xml:space="preserve"> builds on Michael Latham’s incisive ‘The great Vitamin A fiasco’ pubished in</w:t>
      </w:r>
      <w:r>
        <w:rPr>
          <w:rFonts w:ascii="Garamond" w:hAnsi="Garamond"/>
          <w:i/>
          <w:sz w:val="24"/>
          <w:szCs w:val="24"/>
        </w:rPr>
        <w:t xml:space="preserve"> WN </w:t>
      </w:r>
      <w:r w:rsidRPr="00545B4C">
        <w:rPr>
          <w:rFonts w:ascii="Garamond" w:hAnsi="Garamond"/>
          <w:sz w:val="24"/>
          <w:szCs w:val="24"/>
        </w:rPr>
        <w:t>in 2010 (3). These authors discuss the problems with the vitamin A capsule program</w:t>
      </w:r>
      <w:r>
        <w:rPr>
          <w:rFonts w:ascii="Garamond" w:hAnsi="Garamond"/>
          <w:sz w:val="24"/>
          <w:szCs w:val="24"/>
        </w:rPr>
        <w:t>me</w:t>
      </w:r>
      <w:r w:rsidRPr="00545B4C">
        <w:rPr>
          <w:rFonts w:ascii="Garamond" w:hAnsi="Garamond"/>
          <w:sz w:val="24"/>
          <w:szCs w:val="24"/>
        </w:rPr>
        <w:t xml:space="preserve"> and argue persuasively for its curtailment. </w:t>
      </w:r>
    </w:p>
    <w:p w:rsidR="006274BF" w:rsidRDefault="006274BF" w:rsidP="006274BF">
      <w:pPr>
        <w:spacing w:line="276" w:lineRule="auto"/>
        <w:ind w:right="566"/>
        <w:rPr>
          <w:rFonts w:ascii="Garamond" w:hAnsi="Garamond"/>
          <w:b/>
          <w:i/>
          <w:sz w:val="24"/>
          <w:szCs w:val="24"/>
        </w:rPr>
      </w:pPr>
    </w:p>
    <w:p w:rsidR="00C16FC9" w:rsidRPr="009342EA" w:rsidRDefault="00C16FC9" w:rsidP="006274BF">
      <w:pPr>
        <w:spacing w:line="276" w:lineRule="auto"/>
        <w:ind w:right="566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A renewed</w:t>
      </w:r>
      <w:r w:rsidRPr="009342EA">
        <w:rPr>
          <w:rFonts w:ascii="Garamond" w:hAnsi="Garamond"/>
          <w:b/>
          <w:i/>
          <w:sz w:val="24"/>
          <w:szCs w:val="24"/>
        </w:rPr>
        <w:t xml:space="preserve"> paradigm </w:t>
      </w:r>
    </w:p>
    <w:p w:rsidR="00C16FC9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</w:p>
    <w:p w:rsidR="00C16FC9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sz w:val="24"/>
          <w:szCs w:val="24"/>
        </w:rPr>
        <w:t xml:space="preserve">My background is in farming, and I consider the only realistic, sustainable approach to improving human nutrition and health at the population level is through the </w:t>
      </w:r>
      <w:r w:rsidRPr="009342EA">
        <w:rPr>
          <w:rFonts w:ascii="Garamond" w:hAnsi="Garamond"/>
          <w:sz w:val="24"/>
          <w:szCs w:val="24"/>
        </w:rPr>
        <w:t xml:space="preserve">food system. A </w:t>
      </w:r>
      <w:r>
        <w:rPr>
          <w:rFonts w:ascii="Garamond" w:hAnsi="Garamond"/>
          <w:sz w:val="24"/>
          <w:szCs w:val="24"/>
        </w:rPr>
        <w:t>renewed</w:t>
      </w:r>
      <w:r w:rsidRPr="009342EA">
        <w:rPr>
          <w:rFonts w:ascii="Garamond" w:hAnsi="Garamond"/>
          <w:sz w:val="24"/>
          <w:szCs w:val="24"/>
        </w:rPr>
        <w:t xml:space="preserve"> agricultural paradigm embraces the provision of nutritious, diverse</w:t>
      </w:r>
      <w:r w:rsidRPr="00545B4C">
        <w:rPr>
          <w:rFonts w:ascii="Garamond" w:hAnsi="Garamond"/>
          <w:sz w:val="24"/>
          <w:szCs w:val="24"/>
        </w:rPr>
        <w:t xml:space="preserve"> foods, moving beyond a sole focus on trying to increase the yield of a few staple crops </w:t>
      </w:r>
      <w:r>
        <w:rPr>
          <w:rFonts w:ascii="Garamond" w:hAnsi="Garamond"/>
          <w:sz w:val="24"/>
          <w:szCs w:val="24"/>
        </w:rPr>
        <w:t>(4)</w:t>
      </w:r>
      <w:r w:rsidRPr="00545B4C">
        <w:rPr>
          <w:rFonts w:ascii="Garamond" w:hAnsi="Garamond"/>
          <w:sz w:val="24"/>
          <w:szCs w:val="24"/>
        </w:rPr>
        <w:t xml:space="preserve">. </w:t>
      </w:r>
    </w:p>
    <w:p w:rsidR="00C16FC9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sz w:val="24"/>
          <w:szCs w:val="24"/>
        </w:rPr>
        <w:t>Indeed, this can be taken a step further: the key to sustainable, nutritious food systems, especially for farmers who cannot afford commercial fertilisers, is to re-establish agricultural ecosystems which are closer to the natural ecosystems they replaced. This is especially applicable to Sub-Saharan Africa</w:t>
      </w:r>
      <w:r>
        <w:rPr>
          <w:rFonts w:ascii="Garamond" w:hAnsi="Garamond"/>
          <w:sz w:val="24"/>
          <w:szCs w:val="24"/>
        </w:rPr>
        <w:t xml:space="preserve"> (5,6).</w:t>
      </w: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</w:p>
    <w:p w:rsidR="00C16FC9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sz w:val="24"/>
          <w:szCs w:val="24"/>
        </w:rPr>
        <w:t>The food system approach lends itself well to alleviating micronutrient deficiencies. Vita</w:t>
      </w:r>
      <w:r>
        <w:rPr>
          <w:rFonts w:ascii="Garamond" w:hAnsi="Garamond"/>
          <w:sz w:val="24"/>
          <w:szCs w:val="24"/>
        </w:rPr>
        <w:t xml:space="preserve">min A deficiency disorders are often and </w:t>
      </w:r>
      <w:r w:rsidRPr="00545B4C">
        <w:rPr>
          <w:rFonts w:ascii="Garamond" w:hAnsi="Garamond"/>
          <w:sz w:val="24"/>
          <w:szCs w:val="24"/>
        </w:rPr>
        <w:t>perhaps usually</w:t>
      </w:r>
      <w:r>
        <w:rPr>
          <w:rFonts w:ascii="Garamond" w:hAnsi="Garamond"/>
          <w:sz w:val="24"/>
          <w:szCs w:val="24"/>
        </w:rPr>
        <w:t xml:space="preserve"> </w:t>
      </w:r>
      <w:r w:rsidRPr="00545B4C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ccompanied by deficiencies of iron, zinc, selenium, </w:t>
      </w:r>
      <w:r w:rsidRPr="00545B4C">
        <w:rPr>
          <w:rFonts w:ascii="Garamond" w:hAnsi="Garamond"/>
          <w:sz w:val="24"/>
          <w:szCs w:val="24"/>
        </w:rPr>
        <w:t xml:space="preserve">and B vitamins, and these will not be addressed by </w:t>
      </w:r>
      <w:r>
        <w:rPr>
          <w:rFonts w:ascii="Garamond" w:hAnsi="Garamond"/>
          <w:sz w:val="24"/>
          <w:szCs w:val="24"/>
        </w:rPr>
        <w:t>a reductionist vitamin A capsule</w:t>
      </w:r>
      <w:r w:rsidRPr="00545B4C">
        <w:rPr>
          <w:rFonts w:ascii="Garamond" w:hAnsi="Garamond"/>
          <w:sz w:val="24"/>
          <w:szCs w:val="24"/>
        </w:rPr>
        <w:t xml:space="preserve"> program</w:t>
      </w:r>
      <w:r>
        <w:rPr>
          <w:rFonts w:ascii="Garamond" w:hAnsi="Garamond"/>
          <w:sz w:val="24"/>
          <w:szCs w:val="24"/>
        </w:rPr>
        <w:t>me.</w:t>
      </w:r>
      <w:r w:rsidRPr="00545B4C">
        <w:rPr>
          <w:rFonts w:ascii="Garamond" w:hAnsi="Garamond"/>
          <w:sz w:val="24"/>
          <w:szCs w:val="24"/>
        </w:rPr>
        <w:t xml:space="preserve"> Furthermore,</w:t>
      </w:r>
      <w:r>
        <w:rPr>
          <w:rFonts w:ascii="Garamond" w:hAnsi="Garamond"/>
          <w:sz w:val="24"/>
          <w:szCs w:val="24"/>
        </w:rPr>
        <w:t xml:space="preserve"> the provision of diverse foods or </w:t>
      </w:r>
      <w:r w:rsidRPr="00545B4C">
        <w:rPr>
          <w:rFonts w:ascii="Garamond" w:hAnsi="Garamond"/>
          <w:sz w:val="24"/>
          <w:szCs w:val="24"/>
        </w:rPr>
        <w:t>condiments, in some cases biofortified, and process-fortified if required (for example, the successful iodised salt program</w:t>
      </w:r>
      <w:r>
        <w:rPr>
          <w:rFonts w:ascii="Garamond" w:hAnsi="Garamond"/>
          <w:sz w:val="24"/>
          <w:szCs w:val="24"/>
        </w:rPr>
        <w:t>me</w:t>
      </w:r>
      <w:r w:rsidRPr="00545B4C">
        <w:rPr>
          <w:rFonts w:ascii="Garamond" w:hAnsi="Garamond"/>
          <w:sz w:val="24"/>
          <w:szCs w:val="24"/>
        </w:rPr>
        <w:t>), enables the expression of beneficial micronutrient interactions (</w:t>
      </w:r>
      <w:r>
        <w:rPr>
          <w:rFonts w:ascii="Garamond" w:hAnsi="Garamond"/>
          <w:sz w:val="24"/>
          <w:szCs w:val="24"/>
        </w:rPr>
        <w:t>7). Biofortified high-iron</w:t>
      </w:r>
      <w:r w:rsidRPr="00545B4C">
        <w:rPr>
          <w:rFonts w:ascii="Garamond" w:hAnsi="Garamond"/>
          <w:sz w:val="24"/>
          <w:szCs w:val="24"/>
        </w:rPr>
        <w:t xml:space="preserve"> beans and high b</w:t>
      </w:r>
      <w:r>
        <w:rPr>
          <w:rFonts w:ascii="Garamond" w:hAnsi="Garamond"/>
          <w:sz w:val="24"/>
          <w:szCs w:val="24"/>
        </w:rPr>
        <w:t>eta</w:t>
      </w:r>
      <w:r w:rsidRPr="00545B4C">
        <w:rPr>
          <w:rFonts w:ascii="Garamond" w:hAnsi="Garamond"/>
          <w:sz w:val="24"/>
          <w:szCs w:val="24"/>
        </w:rPr>
        <w:t xml:space="preserve">-carotene maize and cassava have recently been released in Africa </w:t>
      </w:r>
      <w:r>
        <w:rPr>
          <w:rFonts w:ascii="Garamond" w:hAnsi="Garamond"/>
          <w:sz w:val="24"/>
          <w:szCs w:val="24"/>
        </w:rPr>
        <w:t>by Harvest</w:t>
      </w:r>
      <w:r w:rsidR="00AC4422">
        <w:rPr>
          <w:rFonts w:ascii="Garamond" w:hAnsi="Garamond"/>
          <w:sz w:val="24"/>
          <w:szCs w:val="24"/>
        </w:rPr>
        <w:t xml:space="preserve">Plus ( </w:t>
      </w:r>
      <w:hyperlink r:id="rId4" w:history="1">
        <w:r w:rsidR="00AC4422" w:rsidRPr="00314CF0">
          <w:rPr>
            <w:rStyle w:val="Hyperlink"/>
            <w:rFonts w:ascii="Garamond" w:hAnsi="Garamond"/>
            <w:sz w:val="24"/>
            <w:szCs w:val="24"/>
          </w:rPr>
          <w:t>www.harvestplus.org</w:t>
        </w:r>
      </w:hyperlink>
      <w:r w:rsidR="00AC4422">
        <w:rPr>
          <w:rFonts w:ascii="Garamond" w:hAnsi="Garamond"/>
          <w:sz w:val="24"/>
          <w:szCs w:val="24"/>
        </w:rPr>
        <w:t xml:space="preserve"> ). </w:t>
      </w:r>
      <w:r>
        <w:rPr>
          <w:rFonts w:ascii="Garamond" w:hAnsi="Garamond"/>
          <w:sz w:val="24"/>
          <w:szCs w:val="24"/>
        </w:rPr>
        <w:t xml:space="preserve"> </w:t>
      </w:r>
      <w:r w:rsidRPr="00545B4C">
        <w:rPr>
          <w:rFonts w:ascii="Garamond" w:hAnsi="Garamond"/>
          <w:sz w:val="24"/>
          <w:szCs w:val="24"/>
        </w:rPr>
        <w:t>Moreover, the Drumstick tree (</w:t>
      </w:r>
      <w:r w:rsidRPr="00545B4C">
        <w:rPr>
          <w:rFonts w:ascii="Garamond" w:hAnsi="Garamond"/>
          <w:i/>
          <w:sz w:val="24"/>
          <w:szCs w:val="24"/>
        </w:rPr>
        <w:t>Moringa oleifera</w:t>
      </w:r>
      <w:r w:rsidRPr="00545B4C">
        <w:rPr>
          <w:rFonts w:ascii="Garamond" w:hAnsi="Garamond"/>
          <w:sz w:val="24"/>
          <w:szCs w:val="24"/>
        </w:rPr>
        <w:t>) is an outstanding natural biofortifier of b</w:t>
      </w:r>
      <w:r>
        <w:rPr>
          <w:rFonts w:ascii="Garamond" w:hAnsi="Garamond"/>
          <w:sz w:val="24"/>
          <w:szCs w:val="24"/>
        </w:rPr>
        <w:t>eta-</w:t>
      </w:r>
      <w:r w:rsidRPr="00545B4C">
        <w:rPr>
          <w:rFonts w:ascii="Garamond" w:hAnsi="Garamond"/>
          <w:sz w:val="24"/>
          <w:szCs w:val="24"/>
        </w:rPr>
        <w:t xml:space="preserve">carotene, </w:t>
      </w:r>
      <w:r>
        <w:rPr>
          <w:rFonts w:ascii="Garamond" w:hAnsi="Garamond"/>
          <w:sz w:val="24"/>
          <w:szCs w:val="24"/>
        </w:rPr>
        <w:t>selenium and sulphur (8)</w:t>
      </w:r>
      <w:r w:rsidRPr="00545B4C">
        <w:rPr>
          <w:rFonts w:ascii="Garamond" w:hAnsi="Garamond"/>
          <w:sz w:val="24"/>
          <w:szCs w:val="24"/>
        </w:rPr>
        <w:t>.</w:t>
      </w:r>
    </w:p>
    <w:p w:rsidR="00C16FC9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</w:p>
    <w:p w:rsidR="00C16FC9" w:rsidRPr="00C3619F" w:rsidRDefault="00C16FC9" w:rsidP="006274BF">
      <w:pPr>
        <w:spacing w:line="276" w:lineRule="auto"/>
        <w:ind w:right="566"/>
        <w:rPr>
          <w:rFonts w:ascii="Garamond" w:hAnsi="Garamond"/>
          <w:b/>
          <w:i/>
          <w:sz w:val="24"/>
          <w:szCs w:val="24"/>
        </w:rPr>
      </w:pPr>
      <w:r w:rsidRPr="00C3619F">
        <w:rPr>
          <w:rFonts w:ascii="Garamond" w:hAnsi="Garamond"/>
          <w:b/>
          <w:i/>
          <w:sz w:val="24"/>
          <w:szCs w:val="24"/>
        </w:rPr>
        <w:t>Work in the Pacific and Indonesia</w:t>
      </w: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sz w:val="24"/>
          <w:szCs w:val="24"/>
        </w:rPr>
        <w:t xml:space="preserve">Since 2006 I have been involved in food system </w:t>
      </w:r>
      <w:r>
        <w:rPr>
          <w:rFonts w:ascii="Garamond" w:hAnsi="Garamond"/>
          <w:sz w:val="24"/>
          <w:szCs w:val="24"/>
        </w:rPr>
        <w:t>research and development</w:t>
      </w:r>
      <w:r w:rsidRPr="00545B4C">
        <w:rPr>
          <w:rFonts w:ascii="Garamond" w:hAnsi="Garamond"/>
          <w:sz w:val="24"/>
          <w:szCs w:val="24"/>
        </w:rPr>
        <w:t xml:space="preserve"> in the Pacific and Indonesia, initially focused on high beta-carotene orange-fleshed sweetpotatoes and yellow bananas (funded by HarvestPlus and the Australian Centre </w:t>
      </w:r>
      <w:r w:rsidRPr="00545B4C">
        <w:rPr>
          <w:rFonts w:ascii="Garamond" w:hAnsi="Garamond"/>
          <w:sz w:val="24"/>
          <w:szCs w:val="24"/>
        </w:rPr>
        <w:lastRenderedPageBreak/>
        <w:t>for Internatio</w:t>
      </w:r>
      <w:r>
        <w:rPr>
          <w:rFonts w:ascii="Garamond" w:hAnsi="Garamond"/>
          <w:sz w:val="24"/>
          <w:szCs w:val="24"/>
        </w:rPr>
        <w:t xml:space="preserve">nal Agricultural Research) </w:t>
      </w:r>
      <w:r w:rsidRPr="00545B4C">
        <w:rPr>
          <w:rFonts w:ascii="Garamond" w:hAnsi="Garamond"/>
          <w:sz w:val="24"/>
          <w:szCs w:val="24"/>
        </w:rPr>
        <w:t>and more recently on nutritious local leafy vegetables (ACIAR:</w:t>
      </w:r>
      <w:r w:rsidR="00AC4422">
        <w:rPr>
          <w:rFonts w:ascii="Garamond" w:hAnsi="Garamond"/>
          <w:sz w:val="24"/>
          <w:szCs w:val="24"/>
        </w:rPr>
        <w:t xml:space="preserve"> see our “Top 12” nutritious leafy vegetables</w:t>
      </w:r>
      <w:r w:rsidR="00BD7C23">
        <w:rPr>
          <w:rFonts w:ascii="Garamond" w:hAnsi="Garamond"/>
          <w:sz w:val="24"/>
          <w:szCs w:val="24"/>
        </w:rPr>
        <w:t xml:space="preserve"> via this link:</w:t>
      </w:r>
      <w:r w:rsidRPr="00545B4C">
        <w:rPr>
          <w:rFonts w:ascii="Garamond" w:hAnsi="Garamond"/>
          <w:sz w:val="24"/>
          <w:szCs w:val="24"/>
        </w:rPr>
        <w:t xml:space="preserve"> </w:t>
      </w:r>
      <w:hyperlink r:id="rId5" w:history="1">
        <w:r w:rsidRPr="00545B4C">
          <w:rPr>
            <w:rStyle w:val="Hyperlink"/>
            <w:rFonts w:ascii="Garamond" w:hAnsi="Garamond"/>
            <w:sz w:val="24"/>
            <w:szCs w:val="24"/>
          </w:rPr>
          <w:t>www.aciar.gov.au/News2013July</w:t>
        </w:r>
      </w:hyperlink>
      <w:r>
        <w:rPr>
          <w:rFonts w:ascii="Garamond" w:hAnsi="Garamond"/>
          <w:sz w:val="24"/>
          <w:szCs w:val="24"/>
        </w:rPr>
        <w:t>)</w:t>
      </w:r>
      <w:r w:rsidRPr="00545B4C">
        <w:rPr>
          <w:rFonts w:ascii="Garamond" w:hAnsi="Garamond"/>
          <w:sz w:val="24"/>
          <w:szCs w:val="24"/>
        </w:rPr>
        <w:t xml:space="preserve">. The importance of these food plants as inexpensive sources of b-carotene was noted by </w:t>
      </w:r>
      <w:r>
        <w:rPr>
          <w:rFonts w:ascii="Garamond" w:hAnsi="Garamond"/>
          <w:sz w:val="24"/>
          <w:szCs w:val="24"/>
        </w:rPr>
        <w:t xml:space="preserve">Michael </w:t>
      </w:r>
      <w:r w:rsidRPr="00545B4C">
        <w:rPr>
          <w:rFonts w:ascii="Garamond" w:hAnsi="Garamond"/>
          <w:sz w:val="24"/>
          <w:szCs w:val="24"/>
        </w:rPr>
        <w:t xml:space="preserve">Latham (2010) and </w:t>
      </w:r>
      <w:r>
        <w:rPr>
          <w:rFonts w:ascii="Garamond" w:hAnsi="Garamond"/>
          <w:sz w:val="24"/>
          <w:szCs w:val="24"/>
        </w:rPr>
        <w:t xml:space="preserve">John Mason and his co-authors (1, 3). </w:t>
      </w:r>
      <w:r w:rsidR="00AC4422">
        <w:rPr>
          <w:rFonts w:ascii="Garamond" w:hAnsi="Garamond"/>
          <w:sz w:val="24"/>
          <w:szCs w:val="24"/>
        </w:rPr>
        <w:t xml:space="preserve">An intervention study in Mozambique found that  production and consumption of orange-fleshed sweetpotatoes increased serum retinol concentrations in children (n = 741) (Low et al, 2007). </w:t>
      </w:r>
      <w:r w:rsidRPr="00545B4C">
        <w:rPr>
          <w:rFonts w:ascii="Garamond" w:hAnsi="Garamond"/>
          <w:sz w:val="24"/>
          <w:szCs w:val="24"/>
        </w:rPr>
        <w:t>The bioavailability and bioconversion of b</w:t>
      </w:r>
      <w:r>
        <w:rPr>
          <w:rFonts w:ascii="Garamond" w:hAnsi="Garamond"/>
          <w:sz w:val="24"/>
          <w:szCs w:val="24"/>
        </w:rPr>
        <w:t>eta</w:t>
      </w:r>
      <w:r w:rsidRPr="00545B4C">
        <w:rPr>
          <w:rFonts w:ascii="Garamond" w:hAnsi="Garamond"/>
          <w:sz w:val="24"/>
          <w:szCs w:val="24"/>
        </w:rPr>
        <w:t>-carotene in these foods c</w:t>
      </w:r>
      <w:r>
        <w:rPr>
          <w:rFonts w:ascii="Garamond" w:hAnsi="Garamond"/>
          <w:sz w:val="24"/>
          <w:szCs w:val="24"/>
        </w:rPr>
        <w:t xml:space="preserve">an be increased by cooking with or </w:t>
      </w:r>
      <w:r w:rsidRPr="00545B4C">
        <w:rPr>
          <w:rFonts w:ascii="Garamond" w:hAnsi="Garamond"/>
          <w:sz w:val="24"/>
          <w:szCs w:val="24"/>
        </w:rPr>
        <w:t>adding a healthy oil such as virgin coconut oil or red palm oil.</w:t>
      </w: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</w:p>
    <w:p w:rsidR="00C16FC9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sz w:val="24"/>
          <w:szCs w:val="24"/>
        </w:rPr>
        <w:t xml:space="preserve">Education and access to suitable germplasm/planting material is required for successful implementation of a food </w:t>
      </w:r>
      <w:r>
        <w:rPr>
          <w:rFonts w:ascii="Garamond" w:hAnsi="Garamond"/>
          <w:sz w:val="24"/>
          <w:szCs w:val="24"/>
        </w:rPr>
        <w:t xml:space="preserve">system strategy to improve food and </w:t>
      </w:r>
      <w:r w:rsidRPr="00545B4C">
        <w:rPr>
          <w:rFonts w:ascii="Garamond" w:hAnsi="Garamond"/>
          <w:sz w:val="24"/>
          <w:szCs w:val="24"/>
        </w:rPr>
        <w:t xml:space="preserve">nutrition security. </w:t>
      </w:r>
      <w:r>
        <w:rPr>
          <w:rFonts w:ascii="Garamond" w:hAnsi="Garamond"/>
          <w:sz w:val="24"/>
          <w:szCs w:val="24"/>
        </w:rPr>
        <w:t>It is such activities</w:t>
      </w:r>
      <w:r w:rsidRPr="00545B4C">
        <w:rPr>
          <w:rFonts w:ascii="Garamond" w:hAnsi="Garamond"/>
          <w:sz w:val="24"/>
          <w:szCs w:val="24"/>
        </w:rPr>
        <w:t xml:space="preserve"> that agriculture and health extensionists need to be involved with, not han</w:t>
      </w:r>
      <w:r>
        <w:rPr>
          <w:rFonts w:ascii="Garamond" w:hAnsi="Garamond"/>
          <w:sz w:val="24"/>
          <w:szCs w:val="24"/>
        </w:rPr>
        <w:t xml:space="preserve">ding out pills or </w:t>
      </w:r>
      <w:r w:rsidRPr="00545B4C">
        <w:rPr>
          <w:rFonts w:ascii="Garamond" w:hAnsi="Garamond"/>
          <w:sz w:val="24"/>
          <w:szCs w:val="24"/>
        </w:rPr>
        <w:t xml:space="preserve">capsules every 4-6 months. </w:t>
      </w:r>
    </w:p>
    <w:p w:rsidR="00C16FC9" w:rsidRDefault="00C16FC9" w:rsidP="006274BF">
      <w:pPr>
        <w:spacing w:line="276" w:lineRule="auto"/>
        <w:ind w:right="566"/>
        <w:jc w:val="center"/>
        <w:rPr>
          <w:rFonts w:ascii="Garamond" w:hAnsi="Garamond"/>
          <w:sz w:val="24"/>
          <w:szCs w:val="24"/>
          <w:lang w:val="en-US"/>
        </w:rPr>
      </w:pPr>
      <w:r w:rsidRPr="00C3619F">
        <w:rPr>
          <w:rFonts w:ascii="Garamond" w:hAnsi="Garamond"/>
          <w:noProof/>
          <w:sz w:val="24"/>
          <w:szCs w:val="24"/>
          <w:lang w:val="en-AU" w:eastAsia="en-AU"/>
        </w:rPr>
        <w:drawing>
          <wp:inline distT="0" distB="0" distL="0" distR="0">
            <wp:extent cx="4191000" cy="2843433"/>
            <wp:effectExtent l="19050" t="0" r="0" b="0"/>
            <wp:docPr id="4" name="Imagem 1" descr="https://www.cyberstamps.com/images/xlarge/MIC070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yberstamps.com/images/xlarge/MIC0708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7" cy="284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C9" w:rsidRPr="00C3619F" w:rsidRDefault="00C16FC9" w:rsidP="006274BF">
      <w:pPr>
        <w:spacing w:line="276" w:lineRule="auto"/>
        <w:ind w:right="566"/>
        <w:rPr>
          <w:rFonts w:ascii="Garamond" w:hAnsi="Garamond"/>
          <w:i/>
          <w:sz w:val="24"/>
          <w:szCs w:val="24"/>
          <w:lang w:val="en-US"/>
        </w:rPr>
      </w:pPr>
      <w:r w:rsidRPr="00C3619F">
        <w:rPr>
          <w:rFonts w:ascii="Garamond" w:hAnsi="Garamond"/>
          <w:i/>
          <w:sz w:val="24"/>
          <w:szCs w:val="24"/>
          <w:lang w:val="en-US"/>
        </w:rPr>
        <w:t>The Federated States of Micronesia valorise</w:t>
      </w:r>
      <w:r>
        <w:rPr>
          <w:rFonts w:ascii="Garamond" w:hAnsi="Garamond"/>
          <w:i/>
          <w:sz w:val="24"/>
          <w:szCs w:val="24"/>
          <w:lang w:val="en-US"/>
        </w:rPr>
        <w:t xml:space="preserve">s </w:t>
      </w:r>
      <w:r w:rsidRPr="00C3619F">
        <w:rPr>
          <w:rFonts w:ascii="Garamond" w:hAnsi="Garamond"/>
          <w:i/>
          <w:sz w:val="24"/>
          <w:szCs w:val="24"/>
          <w:lang w:val="en-US"/>
        </w:rPr>
        <w:t xml:space="preserve">the work of Lois Englberger and many others, by </w:t>
      </w:r>
      <w:r>
        <w:rPr>
          <w:rFonts w:ascii="Garamond" w:hAnsi="Garamond"/>
          <w:i/>
          <w:sz w:val="24"/>
          <w:szCs w:val="24"/>
          <w:lang w:val="en-US"/>
        </w:rPr>
        <w:t xml:space="preserve">this set </w:t>
      </w:r>
      <w:r w:rsidRPr="00C3619F">
        <w:rPr>
          <w:rFonts w:ascii="Garamond" w:hAnsi="Garamond"/>
          <w:i/>
          <w:sz w:val="24"/>
          <w:szCs w:val="24"/>
          <w:lang w:val="en-US"/>
        </w:rPr>
        <w:t xml:space="preserve">of postage stamps celebrating the varieties of banana that naturally protect against </w:t>
      </w:r>
      <w:r w:rsidR="00BD7C23">
        <w:rPr>
          <w:rFonts w:ascii="Garamond" w:hAnsi="Garamond"/>
          <w:i/>
          <w:sz w:val="24"/>
          <w:szCs w:val="24"/>
          <w:lang w:val="en-US"/>
        </w:rPr>
        <w:t xml:space="preserve">vitamin A </w:t>
      </w:r>
      <w:r w:rsidRPr="00C3619F">
        <w:rPr>
          <w:rFonts w:ascii="Garamond" w:hAnsi="Garamond"/>
          <w:i/>
          <w:sz w:val="24"/>
          <w:szCs w:val="24"/>
          <w:lang w:val="en-US"/>
        </w:rPr>
        <w:t>deficiency</w:t>
      </w:r>
    </w:p>
    <w:p w:rsidR="00C16FC9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  <w:lang w:val="en-US"/>
        </w:rPr>
      </w:pPr>
    </w:p>
    <w:p w:rsidR="006274BF" w:rsidRDefault="006274BF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sz w:val="24"/>
          <w:szCs w:val="24"/>
        </w:rPr>
        <w:t xml:space="preserve">In my experience, particularly in </w:t>
      </w:r>
      <w:r>
        <w:rPr>
          <w:rFonts w:ascii="Garamond" w:hAnsi="Garamond"/>
          <w:sz w:val="24"/>
          <w:szCs w:val="24"/>
        </w:rPr>
        <w:t xml:space="preserve">the </w:t>
      </w:r>
      <w:r w:rsidRPr="00545B4C">
        <w:rPr>
          <w:rFonts w:ascii="Garamond" w:hAnsi="Garamond"/>
          <w:sz w:val="24"/>
          <w:szCs w:val="24"/>
        </w:rPr>
        <w:t>Solomon Islands, this is the work they enjoy most, and such program</w:t>
      </w:r>
      <w:r>
        <w:rPr>
          <w:rFonts w:ascii="Garamond" w:hAnsi="Garamond"/>
          <w:sz w:val="24"/>
          <w:szCs w:val="24"/>
        </w:rPr>
        <w:t xml:space="preserve">mes resonate with villagers and </w:t>
      </w:r>
      <w:r w:rsidRPr="00545B4C">
        <w:rPr>
          <w:rFonts w:ascii="Garamond" w:hAnsi="Garamond"/>
          <w:sz w:val="24"/>
          <w:szCs w:val="24"/>
        </w:rPr>
        <w:t>smallholders. I have been fortunate to w</w:t>
      </w:r>
      <w:r>
        <w:rPr>
          <w:rFonts w:ascii="Garamond" w:hAnsi="Garamond"/>
          <w:sz w:val="24"/>
          <w:szCs w:val="24"/>
        </w:rPr>
        <w:t xml:space="preserve">ork with the great nutritionist, educator and </w:t>
      </w:r>
      <w:r w:rsidRPr="00545B4C">
        <w:rPr>
          <w:rFonts w:ascii="Garamond" w:hAnsi="Garamond"/>
          <w:sz w:val="24"/>
          <w:szCs w:val="24"/>
        </w:rPr>
        <w:t xml:space="preserve">communicator Lois </w:t>
      </w: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sz w:val="24"/>
          <w:szCs w:val="24"/>
        </w:rPr>
        <w:t xml:space="preserve">Englberger, </w:t>
      </w:r>
      <w:r>
        <w:rPr>
          <w:rFonts w:ascii="Garamond" w:hAnsi="Garamond"/>
          <w:sz w:val="24"/>
          <w:szCs w:val="24"/>
        </w:rPr>
        <w:t xml:space="preserve">founder </w:t>
      </w:r>
      <w:r w:rsidRPr="00545B4C">
        <w:rPr>
          <w:rFonts w:ascii="Garamond" w:hAnsi="Garamond"/>
          <w:sz w:val="24"/>
          <w:szCs w:val="24"/>
        </w:rPr>
        <w:t xml:space="preserve">of the </w:t>
      </w:r>
      <w:r w:rsidRPr="00C3619F">
        <w:rPr>
          <w:rFonts w:ascii="Garamond" w:hAnsi="Garamond"/>
          <w:sz w:val="24"/>
          <w:szCs w:val="24"/>
        </w:rPr>
        <w:t>Go Local</w:t>
      </w:r>
      <w:r w:rsidRPr="00545B4C">
        <w:rPr>
          <w:rFonts w:ascii="Garamond" w:hAnsi="Garamond"/>
          <w:b/>
          <w:i/>
          <w:sz w:val="24"/>
          <w:szCs w:val="24"/>
        </w:rPr>
        <w:t xml:space="preserve"> </w:t>
      </w:r>
      <w:r w:rsidRPr="00545B4C">
        <w:rPr>
          <w:rFonts w:ascii="Garamond" w:hAnsi="Garamond"/>
          <w:sz w:val="24"/>
          <w:szCs w:val="24"/>
        </w:rPr>
        <w:t>movement (</w:t>
      </w:r>
      <w:r>
        <w:rPr>
          <w:rFonts w:ascii="Garamond" w:hAnsi="Garamond"/>
          <w:sz w:val="24"/>
          <w:szCs w:val="24"/>
        </w:rPr>
        <w:t xml:space="preserve">9), </w:t>
      </w:r>
      <w:r w:rsidRPr="00545B4C">
        <w:rPr>
          <w:rFonts w:ascii="Garamond" w:hAnsi="Garamond"/>
          <w:sz w:val="24"/>
          <w:szCs w:val="24"/>
        </w:rPr>
        <w:t>and Ma</w:t>
      </w:r>
      <w:r>
        <w:rPr>
          <w:rFonts w:ascii="Garamond" w:hAnsi="Garamond"/>
          <w:sz w:val="24"/>
          <w:szCs w:val="24"/>
        </w:rPr>
        <w:t xml:space="preserve">ry Taylor, who established the </w:t>
      </w:r>
      <w:r w:rsidR="00BD7C23">
        <w:rPr>
          <w:rFonts w:ascii="Garamond" w:hAnsi="Garamond"/>
          <w:sz w:val="24"/>
          <w:szCs w:val="24"/>
        </w:rPr>
        <w:t>S</w:t>
      </w:r>
      <w:r w:rsidRPr="00545B4C">
        <w:rPr>
          <w:rFonts w:ascii="Garamond" w:hAnsi="Garamond"/>
          <w:sz w:val="24"/>
          <w:szCs w:val="24"/>
        </w:rPr>
        <w:t xml:space="preserve">ecretariat of the Pacific Community’s germplasm bank, the Centre for Pacific Crops and Trees in Suva, Fiji. Lois related the story of the delight of women who attended our </w:t>
      </w:r>
      <w:r w:rsidRPr="00545B4C">
        <w:rPr>
          <w:rFonts w:ascii="Garamond" w:hAnsi="Garamond"/>
          <w:i/>
          <w:sz w:val="24"/>
          <w:szCs w:val="24"/>
        </w:rPr>
        <w:t xml:space="preserve">Go Local </w:t>
      </w:r>
      <w:r w:rsidRPr="00545B4C">
        <w:rPr>
          <w:rFonts w:ascii="Garamond" w:hAnsi="Garamond"/>
          <w:sz w:val="24"/>
          <w:szCs w:val="24"/>
        </w:rPr>
        <w:t>workshops on Makira Island in 2007 in learning of the nutritional value of their</w:t>
      </w:r>
      <w:r>
        <w:rPr>
          <w:rFonts w:ascii="Garamond" w:hAnsi="Garamond"/>
          <w:sz w:val="24"/>
          <w:szCs w:val="24"/>
        </w:rPr>
        <w:t xml:space="preserve"> indigenous yellow and orange bananas. ‘</w:t>
      </w:r>
      <w:r w:rsidRPr="00545B4C">
        <w:rPr>
          <w:rFonts w:ascii="Garamond" w:hAnsi="Garamond"/>
          <w:sz w:val="24"/>
          <w:szCs w:val="24"/>
        </w:rPr>
        <w:t>Why weren’t we told this long ago? N</w:t>
      </w:r>
      <w:r>
        <w:rPr>
          <w:rFonts w:ascii="Garamond" w:hAnsi="Garamond"/>
          <w:sz w:val="24"/>
          <w:szCs w:val="24"/>
        </w:rPr>
        <w:t>ow we are proud of our bananas!’</w:t>
      </w:r>
      <w:r w:rsidRPr="00545B4C">
        <w:rPr>
          <w:rFonts w:ascii="Garamond" w:hAnsi="Garamond"/>
          <w:sz w:val="24"/>
          <w:szCs w:val="24"/>
        </w:rPr>
        <w:t xml:space="preserve"> There is now an annual banana festival on this island, which is home to around 130 banana varieties.</w:t>
      </w: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sz w:val="24"/>
          <w:szCs w:val="24"/>
        </w:rPr>
        <w:lastRenderedPageBreak/>
        <w:t>The need for increased production and consumption of nutritious local vegetables and fruit is greater than ever, and not just due to population incr</w:t>
      </w:r>
      <w:r>
        <w:rPr>
          <w:rFonts w:ascii="Garamond" w:hAnsi="Garamond"/>
          <w:sz w:val="24"/>
          <w:szCs w:val="24"/>
        </w:rPr>
        <w:t xml:space="preserve">ease. The pandemic of obesity, diabetes, hypertension, heart disease, various cancers and other disorders and diseases, </w:t>
      </w:r>
      <w:r w:rsidRPr="00545B4C">
        <w:rPr>
          <w:rFonts w:ascii="Garamond" w:hAnsi="Garamond"/>
          <w:sz w:val="24"/>
          <w:szCs w:val="24"/>
        </w:rPr>
        <w:t>has overtaken micronutrient malnutrition in terms of health, medical and economic impact on humans. The Global Fruit and Vegetabl</w:t>
      </w:r>
      <w:r>
        <w:rPr>
          <w:rFonts w:ascii="Garamond" w:hAnsi="Garamond"/>
          <w:sz w:val="24"/>
          <w:szCs w:val="24"/>
        </w:rPr>
        <w:t xml:space="preserve">es for Health Initiative </w:t>
      </w:r>
      <w:r w:rsidRPr="00545B4C">
        <w:rPr>
          <w:rFonts w:ascii="Garamond" w:hAnsi="Garamond"/>
          <w:sz w:val="24"/>
          <w:szCs w:val="24"/>
        </w:rPr>
        <w:t>was launched in 2003 in Geneva by FAO and WHO in recognition of the importance of fruit and vegetable consumption for health. The first workshop w</w:t>
      </w:r>
      <w:r>
        <w:rPr>
          <w:rFonts w:ascii="Garamond" w:hAnsi="Garamond"/>
          <w:sz w:val="24"/>
          <w:szCs w:val="24"/>
        </w:rPr>
        <w:t>as held in Kobe, Japan in 2004.</w:t>
      </w:r>
      <w:r w:rsidR="00BD7C23">
        <w:rPr>
          <w:rFonts w:ascii="Garamond" w:hAnsi="Garamond"/>
          <w:sz w:val="24"/>
          <w:szCs w:val="24"/>
        </w:rPr>
        <w:t xml:space="preserve"> I was fortunate to represent ACIAR at the most recent FAO/WHO workshop with this theme in Nadi, Fiji in October 2014. Attendees included health, agriculture and education officials from most Pacific countries.</w:t>
      </w: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sz w:val="24"/>
          <w:szCs w:val="24"/>
        </w:rPr>
        <w:t xml:space="preserve">There is an urgent need to move resources from simplistic, expensive, reductionist medicinal dosing strategies to comprehensive food-based and food system-based approaches to address food and nutrition security. I congratulate </w:t>
      </w:r>
      <w:r w:rsidRPr="00545B4C">
        <w:rPr>
          <w:rFonts w:ascii="Garamond" w:hAnsi="Garamond"/>
          <w:i/>
          <w:sz w:val="24"/>
          <w:szCs w:val="24"/>
        </w:rPr>
        <w:t xml:space="preserve">World Nutrition </w:t>
      </w:r>
      <w:r w:rsidRPr="00545B4C">
        <w:rPr>
          <w:rFonts w:ascii="Garamond" w:hAnsi="Garamond"/>
          <w:sz w:val="24"/>
          <w:szCs w:val="24"/>
        </w:rPr>
        <w:t>for addressing this compelling issue. This is just the beginning.</w:t>
      </w: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4"/>
          <w:szCs w:val="24"/>
        </w:rPr>
      </w:pPr>
    </w:p>
    <w:p w:rsidR="00C16FC9" w:rsidRPr="00DF7971" w:rsidRDefault="00C16FC9" w:rsidP="006274BF">
      <w:pPr>
        <w:spacing w:line="276" w:lineRule="auto"/>
        <w:ind w:right="566"/>
        <w:jc w:val="right"/>
        <w:rPr>
          <w:rFonts w:ascii="Garamond" w:hAnsi="Garamond"/>
          <w:b/>
          <w:sz w:val="24"/>
          <w:szCs w:val="24"/>
        </w:rPr>
      </w:pPr>
      <w:r w:rsidRPr="00DF7971">
        <w:rPr>
          <w:rFonts w:ascii="Garamond" w:hAnsi="Garamond"/>
          <w:b/>
          <w:sz w:val="24"/>
          <w:szCs w:val="24"/>
        </w:rPr>
        <w:t>Graham Lyons</w:t>
      </w:r>
    </w:p>
    <w:p w:rsidR="00C16FC9" w:rsidRPr="00545B4C" w:rsidRDefault="00C16FC9" w:rsidP="006274BF">
      <w:pPr>
        <w:spacing w:line="276" w:lineRule="auto"/>
        <w:ind w:right="566"/>
        <w:jc w:val="right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sz w:val="24"/>
          <w:szCs w:val="24"/>
        </w:rPr>
        <w:t>University of Adelaide, South Australia</w:t>
      </w:r>
    </w:p>
    <w:p w:rsidR="00C16FC9" w:rsidRPr="00545B4C" w:rsidRDefault="00C16FC9" w:rsidP="006274BF">
      <w:pPr>
        <w:spacing w:line="276" w:lineRule="auto"/>
        <w:ind w:right="566"/>
        <w:jc w:val="right"/>
        <w:rPr>
          <w:rFonts w:ascii="Garamond" w:hAnsi="Garamond"/>
          <w:sz w:val="24"/>
          <w:szCs w:val="24"/>
        </w:rPr>
      </w:pPr>
      <w:r w:rsidRPr="00545B4C">
        <w:rPr>
          <w:rFonts w:ascii="Garamond" w:hAnsi="Garamond"/>
          <w:b/>
          <w:i/>
          <w:sz w:val="24"/>
          <w:szCs w:val="24"/>
        </w:rPr>
        <w:t xml:space="preserve">Email: </w:t>
      </w:r>
      <w:r w:rsidRPr="00DF7971">
        <w:rPr>
          <w:rFonts w:ascii="Garamond" w:hAnsi="Garamond"/>
          <w:b/>
          <w:i/>
          <w:sz w:val="24"/>
          <w:szCs w:val="24"/>
        </w:rPr>
        <w:t>graham.lyons@adelaide.edu.au</w:t>
      </w:r>
    </w:p>
    <w:p w:rsidR="00C16FC9" w:rsidRDefault="00C16FC9" w:rsidP="006274BF">
      <w:pPr>
        <w:ind w:right="566"/>
        <w:rPr>
          <w:rFonts w:ascii="Garamond" w:hAnsi="Garamond"/>
          <w:i/>
          <w:sz w:val="32"/>
          <w:szCs w:val="32"/>
        </w:rPr>
      </w:pP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i/>
          <w:sz w:val="32"/>
          <w:szCs w:val="32"/>
        </w:rPr>
      </w:pPr>
      <w:r w:rsidRPr="00545B4C">
        <w:rPr>
          <w:rFonts w:ascii="Garamond" w:hAnsi="Garamond"/>
          <w:i/>
          <w:sz w:val="32"/>
          <w:szCs w:val="32"/>
        </w:rPr>
        <w:t>References:</w:t>
      </w: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i/>
          <w:sz w:val="24"/>
          <w:szCs w:val="24"/>
        </w:rPr>
      </w:pPr>
    </w:p>
    <w:p w:rsidR="00C16FC9" w:rsidRPr="00545B4C" w:rsidRDefault="00C16FC9" w:rsidP="006274BF">
      <w:pPr>
        <w:spacing w:line="276" w:lineRule="auto"/>
        <w:ind w:left="705" w:right="566" w:hanging="70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ab/>
      </w:r>
      <w:r w:rsidRPr="00545B4C">
        <w:rPr>
          <w:rFonts w:ascii="Garamond" w:hAnsi="Garamond"/>
          <w:sz w:val="22"/>
          <w:szCs w:val="22"/>
        </w:rPr>
        <w:t xml:space="preserve">Mason J, Greiner T, Shrimpton R, Sanders D, Tukich J. Vitamin A policies need rethinking. </w:t>
      </w:r>
      <w:r w:rsidRPr="00545B4C">
        <w:rPr>
          <w:rFonts w:ascii="Garamond" w:hAnsi="Garamond"/>
          <w:i/>
          <w:sz w:val="22"/>
          <w:szCs w:val="22"/>
        </w:rPr>
        <w:t xml:space="preserve">International Journal of Epidemiology </w:t>
      </w:r>
      <w:r>
        <w:rPr>
          <w:rFonts w:ascii="Garamond" w:hAnsi="Garamond"/>
          <w:sz w:val="22"/>
          <w:szCs w:val="22"/>
        </w:rPr>
        <w:t>2014</w:t>
      </w:r>
      <w:r w:rsidRPr="00545B4C">
        <w:rPr>
          <w:rFonts w:ascii="Garamond" w:hAnsi="Garamond"/>
          <w:sz w:val="22"/>
          <w:szCs w:val="22"/>
        </w:rPr>
        <w:t>; doi: 10.1093/ije/dyu194.</w:t>
      </w:r>
    </w:p>
    <w:p w:rsidR="00C16FC9" w:rsidRDefault="00C16FC9" w:rsidP="006274BF">
      <w:pPr>
        <w:spacing w:line="276" w:lineRule="auto"/>
        <w:ind w:left="705" w:right="566" w:hanging="70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ab/>
      </w:r>
      <w:r w:rsidRPr="00545B4C">
        <w:rPr>
          <w:rFonts w:ascii="Garamond" w:hAnsi="Garamond"/>
          <w:sz w:val="22"/>
          <w:szCs w:val="22"/>
        </w:rPr>
        <w:t xml:space="preserve">Mason J, Greiner T, Shrimpton R, Sanders D, Yukich J. Development. Malnutrition. Vitamin A. Let food be our medicine. </w:t>
      </w:r>
      <w:r w:rsidRPr="00545B4C">
        <w:rPr>
          <w:rFonts w:ascii="Garamond" w:hAnsi="Garamond"/>
          <w:i/>
          <w:sz w:val="22"/>
          <w:szCs w:val="22"/>
        </w:rPr>
        <w:t xml:space="preserve">World Nutrition </w:t>
      </w:r>
      <w:r>
        <w:rPr>
          <w:rFonts w:ascii="Garamond" w:hAnsi="Garamond"/>
          <w:sz w:val="22"/>
          <w:szCs w:val="22"/>
        </w:rPr>
        <w:t>2014</w:t>
      </w:r>
      <w:r w:rsidRPr="00545B4C">
        <w:rPr>
          <w:rFonts w:ascii="Garamond" w:hAnsi="Garamond"/>
          <w:sz w:val="22"/>
          <w:szCs w:val="22"/>
        </w:rPr>
        <w:t xml:space="preserve">; </w:t>
      </w:r>
      <w:r w:rsidRPr="00545B4C">
        <w:rPr>
          <w:rFonts w:ascii="Garamond" w:hAnsi="Garamond"/>
          <w:b/>
          <w:sz w:val="22"/>
          <w:szCs w:val="22"/>
        </w:rPr>
        <w:t>5</w:t>
      </w:r>
      <w:r w:rsidRPr="00545B4C">
        <w:rPr>
          <w:rFonts w:ascii="Garamond" w:hAnsi="Garamond"/>
          <w:sz w:val="22"/>
          <w:szCs w:val="22"/>
        </w:rPr>
        <w:t>(11): 940-952.</w:t>
      </w:r>
    </w:p>
    <w:p w:rsidR="00C16FC9" w:rsidRDefault="00C16FC9" w:rsidP="006274BF">
      <w:pPr>
        <w:spacing w:line="276" w:lineRule="auto"/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ab/>
      </w:r>
      <w:r w:rsidRPr="00545B4C">
        <w:rPr>
          <w:rFonts w:ascii="Garamond" w:hAnsi="Garamond"/>
          <w:sz w:val="22"/>
          <w:szCs w:val="22"/>
        </w:rPr>
        <w:t xml:space="preserve">Latham M. The great vitamin A fiasco. </w:t>
      </w:r>
      <w:r w:rsidRPr="00545B4C">
        <w:rPr>
          <w:rFonts w:ascii="Garamond" w:hAnsi="Garamond"/>
          <w:i/>
          <w:sz w:val="22"/>
          <w:szCs w:val="22"/>
        </w:rPr>
        <w:t>World Nutrition</w:t>
      </w:r>
      <w:r w:rsidRPr="00545B4C">
        <w:rPr>
          <w:rFonts w:ascii="Garamond" w:hAnsi="Garamond"/>
          <w:sz w:val="22"/>
          <w:szCs w:val="22"/>
        </w:rPr>
        <w:t xml:space="preserve"> 2010; </w:t>
      </w:r>
      <w:r w:rsidRPr="00545B4C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 xml:space="preserve">, </w:t>
      </w:r>
      <w:r w:rsidRPr="000F48FD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: 12-45.</w:t>
      </w:r>
    </w:p>
    <w:p w:rsidR="00C16FC9" w:rsidRDefault="00C16FC9" w:rsidP="006274BF">
      <w:pPr>
        <w:spacing w:line="276" w:lineRule="auto"/>
        <w:ind w:left="705" w:right="566" w:hanging="70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ab/>
      </w:r>
      <w:r w:rsidRPr="00545B4C">
        <w:rPr>
          <w:rFonts w:ascii="Garamond" w:hAnsi="Garamond"/>
          <w:sz w:val="22"/>
          <w:szCs w:val="22"/>
        </w:rPr>
        <w:t xml:space="preserve">Graham RD, Welch RM, Bouis HE. Addressing micronutrient malnutrition through enhancing the nutritional quality of staple foods: principles, perspectives and knowledge gaps. </w:t>
      </w:r>
      <w:r w:rsidRPr="00545B4C">
        <w:rPr>
          <w:rFonts w:ascii="Garamond" w:hAnsi="Garamond"/>
          <w:i/>
          <w:sz w:val="22"/>
          <w:szCs w:val="22"/>
        </w:rPr>
        <w:t xml:space="preserve">Advances in Agronomy </w:t>
      </w:r>
      <w:r w:rsidRPr="00545B4C">
        <w:rPr>
          <w:rFonts w:ascii="Garamond" w:hAnsi="Garamond"/>
          <w:sz w:val="22"/>
          <w:szCs w:val="22"/>
        </w:rPr>
        <w:t xml:space="preserve">2001; </w:t>
      </w:r>
      <w:r w:rsidRPr="00545B4C">
        <w:rPr>
          <w:rFonts w:ascii="Garamond" w:hAnsi="Garamond"/>
          <w:b/>
          <w:sz w:val="22"/>
          <w:szCs w:val="22"/>
        </w:rPr>
        <w:t>70</w:t>
      </w:r>
      <w:r w:rsidRPr="00545B4C">
        <w:rPr>
          <w:rFonts w:ascii="Garamond" w:hAnsi="Garamond"/>
          <w:sz w:val="22"/>
          <w:szCs w:val="22"/>
        </w:rPr>
        <w:t>: 77-142.</w:t>
      </w:r>
    </w:p>
    <w:p w:rsidR="00C16FC9" w:rsidRDefault="00C16FC9" w:rsidP="006274BF">
      <w:pPr>
        <w:spacing w:line="276" w:lineRule="auto"/>
        <w:ind w:left="705" w:right="566" w:hanging="70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ab/>
      </w:r>
      <w:r w:rsidRPr="00545B4C">
        <w:rPr>
          <w:rFonts w:ascii="Garamond" w:hAnsi="Garamond"/>
          <w:sz w:val="22"/>
          <w:szCs w:val="22"/>
        </w:rPr>
        <w:t xml:space="preserve">Christophersen OA, Lyons G, Haug A, Steinnes E. Selenium. In Alloway BJ (ed). </w:t>
      </w:r>
      <w:r w:rsidRPr="00545B4C">
        <w:rPr>
          <w:rFonts w:ascii="Garamond" w:hAnsi="Garamond"/>
          <w:i/>
          <w:sz w:val="22"/>
          <w:szCs w:val="22"/>
        </w:rPr>
        <w:t xml:space="preserve">Heavy Metals in Soils: Trace Elements and Metalloids in Soils and their Bioavailability. </w:t>
      </w:r>
      <w:r w:rsidRPr="00545B4C">
        <w:rPr>
          <w:rFonts w:ascii="Garamond" w:hAnsi="Garamond"/>
          <w:sz w:val="22"/>
          <w:szCs w:val="22"/>
        </w:rPr>
        <w:t>Springer, Dordrecht, 2013: pp 429-463.</w:t>
      </w:r>
    </w:p>
    <w:p w:rsidR="00C16FC9" w:rsidRDefault="00C16FC9" w:rsidP="006274BF">
      <w:pPr>
        <w:spacing w:line="276" w:lineRule="auto"/>
        <w:ind w:left="705" w:right="566" w:hanging="70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Pr="00FE369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545B4C">
        <w:rPr>
          <w:rFonts w:ascii="Garamond" w:hAnsi="Garamond"/>
          <w:sz w:val="22"/>
          <w:szCs w:val="22"/>
        </w:rPr>
        <w:t xml:space="preserve">Sanginga N, Woomer PL (eds). </w:t>
      </w:r>
      <w:r w:rsidRPr="00545B4C">
        <w:rPr>
          <w:rFonts w:ascii="Garamond" w:hAnsi="Garamond"/>
          <w:i/>
          <w:sz w:val="22"/>
          <w:szCs w:val="22"/>
        </w:rPr>
        <w:t xml:space="preserve">Integrated Soil Fertility Management in Africa: Principles, Practices and Developmental Process. </w:t>
      </w:r>
      <w:r w:rsidRPr="00545B4C">
        <w:rPr>
          <w:rFonts w:ascii="Garamond" w:hAnsi="Garamond"/>
          <w:sz w:val="22"/>
          <w:szCs w:val="22"/>
        </w:rPr>
        <w:t>Tropical Soil Biology and Fertility Institute of the International Centre for Tropical Agriculture. Nairobi, Kenya, 2009.</w:t>
      </w:r>
    </w:p>
    <w:p w:rsidR="00C16FC9" w:rsidRDefault="00C16FC9" w:rsidP="006274BF">
      <w:pPr>
        <w:spacing w:line="276" w:lineRule="auto"/>
        <w:ind w:left="705" w:right="566" w:hanging="70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FE369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545B4C">
        <w:rPr>
          <w:rFonts w:ascii="Garamond" w:hAnsi="Garamond"/>
          <w:sz w:val="22"/>
          <w:szCs w:val="22"/>
        </w:rPr>
        <w:t xml:space="preserve">Lyons GH, Stangoulis JCR, Graham RD. Exploiting micronutrient interaction to optimize biofortification programs: the case for inclusion of selenium and iodine in the </w:t>
      </w:r>
      <w:r w:rsidRPr="00545B4C">
        <w:rPr>
          <w:rFonts w:ascii="Garamond" w:hAnsi="Garamond"/>
          <w:i/>
          <w:sz w:val="22"/>
          <w:szCs w:val="22"/>
        </w:rPr>
        <w:t xml:space="preserve">HarvestPlus </w:t>
      </w:r>
      <w:r w:rsidRPr="00545B4C">
        <w:rPr>
          <w:rFonts w:ascii="Garamond" w:hAnsi="Garamond"/>
          <w:sz w:val="22"/>
          <w:szCs w:val="22"/>
        </w:rPr>
        <w:t xml:space="preserve">program. </w:t>
      </w:r>
      <w:r w:rsidRPr="00545B4C">
        <w:rPr>
          <w:rFonts w:ascii="Garamond" w:hAnsi="Garamond"/>
          <w:i/>
          <w:sz w:val="22"/>
          <w:szCs w:val="22"/>
        </w:rPr>
        <w:t xml:space="preserve">Nutrition Reviews </w:t>
      </w:r>
      <w:r w:rsidRPr="00545B4C">
        <w:rPr>
          <w:rFonts w:ascii="Garamond" w:hAnsi="Garamond"/>
          <w:sz w:val="22"/>
          <w:szCs w:val="22"/>
        </w:rPr>
        <w:t xml:space="preserve">2004; </w:t>
      </w:r>
      <w:r w:rsidRPr="00545B4C">
        <w:rPr>
          <w:rFonts w:ascii="Garamond" w:hAnsi="Garamond"/>
          <w:b/>
          <w:sz w:val="22"/>
          <w:szCs w:val="22"/>
        </w:rPr>
        <w:t>62</w:t>
      </w:r>
      <w:r w:rsidRPr="00545B4C">
        <w:rPr>
          <w:rFonts w:ascii="Garamond" w:hAnsi="Garamond"/>
          <w:sz w:val="22"/>
          <w:szCs w:val="22"/>
        </w:rPr>
        <w:t>: 247-252.</w:t>
      </w:r>
    </w:p>
    <w:p w:rsidR="00C16FC9" w:rsidRDefault="00C16FC9" w:rsidP="006274BF">
      <w:pPr>
        <w:spacing w:line="276" w:lineRule="auto"/>
        <w:ind w:left="705" w:right="566" w:hanging="70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ab/>
      </w:r>
      <w:r w:rsidRPr="00545B4C">
        <w:rPr>
          <w:rFonts w:ascii="Garamond" w:hAnsi="Garamond"/>
          <w:sz w:val="22"/>
          <w:szCs w:val="22"/>
        </w:rPr>
        <w:t xml:space="preserve">Lyons GH, Gondwe C, Banuelos GS, Zambrano MC, Haug A, Christophersen OA.  </w:t>
      </w:r>
      <w:r>
        <w:rPr>
          <w:rFonts w:ascii="Garamond" w:hAnsi="Garamond"/>
          <w:sz w:val="22"/>
          <w:szCs w:val="22"/>
        </w:rPr>
        <w:t xml:space="preserve">Drumming </w:t>
      </w:r>
      <w:r w:rsidRPr="00545B4C">
        <w:rPr>
          <w:rFonts w:ascii="Garamond" w:hAnsi="Garamond"/>
          <w:sz w:val="22"/>
          <w:szCs w:val="22"/>
        </w:rPr>
        <w:t xml:space="preserve">up selenium and sulphur in Africa: Improving nutrition with </w:t>
      </w:r>
      <w:r w:rsidRPr="00545B4C">
        <w:rPr>
          <w:rFonts w:ascii="Garamond" w:hAnsi="Garamond"/>
          <w:i/>
          <w:sz w:val="22"/>
          <w:szCs w:val="22"/>
        </w:rPr>
        <w:t>Moringa oleifera.</w:t>
      </w:r>
      <w:r w:rsidRPr="00545B4C">
        <w:rPr>
          <w:rFonts w:ascii="Garamond" w:hAnsi="Garamond"/>
          <w:sz w:val="22"/>
          <w:szCs w:val="22"/>
        </w:rPr>
        <w:t xml:space="preserve"> In Banuelos GS, Lin Z-Q, Yin X (eds) </w:t>
      </w:r>
      <w:r w:rsidRPr="00545B4C">
        <w:rPr>
          <w:rFonts w:ascii="Garamond" w:hAnsi="Garamond"/>
          <w:i/>
          <w:sz w:val="22"/>
          <w:szCs w:val="22"/>
        </w:rPr>
        <w:t>Selenium in the Environment and Human Health</w:t>
      </w:r>
      <w:r w:rsidRPr="00545B4C">
        <w:rPr>
          <w:rFonts w:ascii="Garamond" w:hAnsi="Garamond"/>
          <w:sz w:val="22"/>
          <w:szCs w:val="22"/>
        </w:rPr>
        <w:t>. CRC Press, Boca Raton, USA, 2014: pp 91-92.</w:t>
      </w:r>
    </w:p>
    <w:p w:rsidR="00C16FC9" w:rsidRDefault="00C16FC9" w:rsidP="006274BF">
      <w:pPr>
        <w:spacing w:line="276" w:lineRule="auto"/>
        <w:ind w:left="705" w:right="566" w:hanging="70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ab/>
      </w:r>
      <w:r w:rsidRPr="00545B4C">
        <w:rPr>
          <w:rFonts w:ascii="Garamond" w:hAnsi="Garamond"/>
          <w:sz w:val="22"/>
          <w:szCs w:val="22"/>
        </w:rPr>
        <w:t xml:space="preserve">Englberger L, Lyons GH, Foley W, Daniells J, Aalbersberg W, Dolodolotawake U, Watoto C, Iramu E, Taki B, Wehi F, Warito P, Taylor M. Carotenoid and riboflavin </w:t>
      </w:r>
      <w:r w:rsidRPr="00545B4C">
        <w:rPr>
          <w:rFonts w:ascii="Garamond" w:hAnsi="Garamond"/>
          <w:sz w:val="22"/>
          <w:szCs w:val="22"/>
        </w:rPr>
        <w:lastRenderedPageBreak/>
        <w:t>content of banana cultivars from Makira, Solomon Islands</w:t>
      </w:r>
      <w:r w:rsidRPr="00545B4C">
        <w:rPr>
          <w:rFonts w:ascii="Garamond" w:hAnsi="Garamond"/>
          <w:i/>
          <w:sz w:val="22"/>
          <w:szCs w:val="22"/>
        </w:rPr>
        <w:t>.</w:t>
      </w:r>
      <w:r w:rsidRPr="00545B4C">
        <w:rPr>
          <w:rFonts w:ascii="Garamond" w:hAnsi="Garamond"/>
          <w:sz w:val="22"/>
          <w:szCs w:val="22"/>
        </w:rPr>
        <w:t xml:space="preserve"> </w:t>
      </w:r>
      <w:r w:rsidRPr="00545B4C">
        <w:rPr>
          <w:rFonts w:ascii="Garamond" w:hAnsi="Garamond"/>
          <w:i/>
          <w:sz w:val="22"/>
          <w:szCs w:val="22"/>
        </w:rPr>
        <w:t xml:space="preserve">Journal of Food Composition and Analysis </w:t>
      </w:r>
      <w:r w:rsidRPr="00545B4C">
        <w:rPr>
          <w:rFonts w:ascii="Garamond" w:hAnsi="Garamond"/>
          <w:sz w:val="22"/>
          <w:szCs w:val="22"/>
        </w:rPr>
        <w:t xml:space="preserve">2010; </w:t>
      </w:r>
      <w:r w:rsidRPr="00545B4C">
        <w:rPr>
          <w:rFonts w:ascii="Garamond" w:hAnsi="Garamond"/>
          <w:b/>
          <w:sz w:val="22"/>
          <w:szCs w:val="22"/>
        </w:rPr>
        <w:t>23</w:t>
      </w:r>
      <w:r w:rsidRPr="00545B4C">
        <w:rPr>
          <w:rFonts w:ascii="Garamond" w:hAnsi="Garamond"/>
          <w:sz w:val="22"/>
          <w:szCs w:val="22"/>
        </w:rPr>
        <w:t>(6): 624-632.</w:t>
      </w:r>
    </w:p>
    <w:p w:rsidR="00AC4422" w:rsidRDefault="00AC4422" w:rsidP="006274BF">
      <w:pPr>
        <w:spacing w:line="276" w:lineRule="auto"/>
        <w:ind w:left="705" w:right="566" w:hanging="705"/>
        <w:rPr>
          <w:rFonts w:ascii="Garamond" w:hAnsi="Garamond"/>
          <w:sz w:val="22"/>
          <w:szCs w:val="22"/>
        </w:rPr>
      </w:pPr>
    </w:p>
    <w:p w:rsidR="00AC4422" w:rsidRPr="00AC4422" w:rsidRDefault="00AC4422" w:rsidP="006274BF">
      <w:pPr>
        <w:spacing w:line="276" w:lineRule="auto"/>
        <w:ind w:left="705" w:right="566" w:hanging="70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Low JW, Arimond M, Osman N, Cunguara B, Zano F, Tschirley D. A food-based approach introducing orange-fleshed sweet potatoes increased vitamin A intake and serum retinol concentrations in young children in rural Mozambique. </w:t>
      </w:r>
      <w:r>
        <w:rPr>
          <w:rFonts w:ascii="Garamond" w:hAnsi="Garamond"/>
          <w:i/>
          <w:sz w:val="22"/>
          <w:szCs w:val="22"/>
        </w:rPr>
        <w:t xml:space="preserve">Journal of Nutrition </w:t>
      </w:r>
      <w:r>
        <w:rPr>
          <w:rFonts w:ascii="Garamond" w:hAnsi="Garamond"/>
          <w:sz w:val="22"/>
          <w:szCs w:val="22"/>
        </w:rPr>
        <w:t xml:space="preserve">2007; </w:t>
      </w:r>
      <w:r>
        <w:rPr>
          <w:rFonts w:ascii="Garamond" w:hAnsi="Garamond"/>
          <w:b/>
          <w:sz w:val="22"/>
          <w:szCs w:val="22"/>
        </w:rPr>
        <w:t>137</w:t>
      </w:r>
      <w:r>
        <w:rPr>
          <w:rFonts w:ascii="Garamond" w:hAnsi="Garamond"/>
          <w:sz w:val="22"/>
          <w:szCs w:val="22"/>
        </w:rPr>
        <w:t>(5): 1320-1327.</w:t>
      </w:r>
    </w:p>
    <w:p w:rsidR="00C16FC9" w:rsidRPr="00545B4C" w:rsidRDefault="00C16FC9" w:rsidP="006274BF">
      <w:pPr>
        <w:spacing w:line="276" w:lineRule="auto"/>
        <w:ind w:right="566"/>
        <w:rPr>
          <w:rFonts w:ascii="Garamond" w:hAnsi="Garamond"/>
          <w:sz w:val="22"/>
          <w:szCs w:val="22"/>
        </w:rPr>
      </w:pPr>
    </w:p>
    <w:p w:rsidR="00C16FC9" w:rsidRDefault="00C16FC9" w:rsidP="006274BF">
      <w:pPr>
        <w:pStyle w:val="ListParagraph"/>
        <w:shd w:val="clear" w:color="auto" w:fill="FFFFFF" w:themeFill="background1"/>
        <w:spacing w:after="0"/>
        <w:ind w:left="0" w:right="566"/>
        <w:rPr>
          <w:rFonts w:ascii="Garamond" w:hAnsi="Garamond"/>
          <w:i/>
          <w:sz w:val="24"/>
          <w:szCs w:val="24"/>
          <w:lang w:val="en-US"/>
        </w:rPr>
      </w:pPr>
      <w:r>
        <w:rPr>
          <w:rFonts w:ascii="Garamond" w:hAnsi="Garamond"/>
          <w:i/>
          <w:sz w:val="24"/>
          <w:szCs w:val="24"/>
          <w:lang w:val="en-US"/>
        </w:rPr>
        <w:t>Lyons G. Vitamin A. ‘Why weren’t we told this long ago?’</w:t>
      </w:r>
    </w:p>
    <w:p w:rsidR="00C16FC9" w:rsidRDefault="00C16FC9" w:rsidP="006274BF">
      <w:pPr>
        <w:pStyle w:val="ListParagraph"/>
        <w:shd w:val="clear" w:color="auto" w:fill="FFFFFF" w:themeFill="background1"/>
        <w:spacing w:after="0"/>
        <w:ind w:left="0" w:right="566"/>
        <w:rPr>
          <w:rFonts w:ascii="Garamond" w:hAnsi="Garamond"/>
          <w:i/>
          <w:color w:val="FF0000"/>
          <w:sz w:val="24"/>
          <w:szCs w:val="24"/>
          <w:lang w:val="en-US"/>
        </w:rPr>
      </w:pPr>
      <w:r>
        <w:rPr>
          <w:rFonts w:ascii="Garamond" w:hAnsi="Garamond"/>
          <w:i/>
          <w:sz w:val="24"/>
          <w:szCs w:val="24"/>
          <w:lang w:val="en-US"/>
        </w:rPr>
        <w:t xml:space="preserve">[Feedback]. World Nutrition December 2014, </w:t>
      </w:r>
      <w:r w:rsidRPr="00C26964">
        <w:rPr>
          <w:rFonts w:ascii="Garamond" w:hAnsi="Garamond"/>
          <w:b/>
          <w:i/>
          <w:sz w:val="24"/>
          <w:szCs w:val="24"/>
          <w:lang w:val="en-US"/>
        </w:rPr>
        <w:t>5</w:t>
      </w:r>
      <w:r>
        <w:rPr>
          <w:rFonts w:ascii="Garamond" w:hAnsi="Garamond"/>
          <w:i/>
          <w:sz w:val="24"/>
          <w:szCs w:val="24"/>
          <w:lang w:val="en-US"/>
        </w:rPr>
        <w:t xml:space="preserve">, 12, </w:t>
      </w:r>
      <w:r w:rsidRPr="00C26964">
        <w:rPr>
          <w:rFonts w:ascii="Garamond" w:hAnsi="Garamond"/>
          <w:i/>
          <w:color w:val="FF0000"/>
          <w:sz w:val="24"/>
          <w:szCs w:val="24"/>
          <w:lang w:val="en-US"/>
        </w:rPr>
        <w:t>1</w:t>
      </w:r>
      <w:r>
        <w:rPr>
          <w:rFonts w:ascii="Garamond" w:hAnsi="Garamond"/>
          <w:i/>
          <w:color w:val="FF0000"/>
          <w:sz w:val="24"/>
          <w:szCs w:val="24"/>
          <w:lang w:val="en-US"/>
        </w:rPr>
        <w:t>125-1126</w:t>
      </w:r>
    </w:p>
    <w:p w:rsidR="00374DE3" w:rsidRDefault="00374DE3"/>
    <w:sectPr w:rsidR="00374DE3" w:rsidSect="00374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C16FC9"/>
    <w:rsid w:val="00194081"/>
    <w:rsid w:val="00260888"/>
    <w:rsid w:val="00374DE3"/>
    <w:rsid w:val="006274BF"/>
    <w:rsid w:val="00A344FD"/>
    <w:rsid w:val="00A83E30"/>
    <w:rsid w:val="00AC4422"/>
    <w:rsid w:val="00AC7765"/>
    <w:rsid w:val="00BD7C23"/>
    <w:rsid w:val="00C16FC9"/>
    <w:rsid w:val="00C3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9"/>
    <w:pPr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16FC9"/>
    <w:pPr>
      <w:spacing w:after="200"/>
    </w:pPr>
    <w:rPr>
      <w:rFonts w:ascii="Calibri" w:eastAsia="Calibri" w:hAnsi="Calibri" w:cs="Arial"/>
      <w:color w:val="auto"/>
      <w:kern w:val="0"/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FC9"/>
    <w:rPr>
      <w:rFonts w:ascii="Calibri" w:eastAsia="Calibri" w:hAnsi="Calibri" w:cs="Arial"/>
      <w:sz w:val="24"/>
      <w:szCs w:val="24"/>
      <w:lang w:val="en-US"/>
    </w:rPr>
  </w:style>
  <w:style w:type="character" w:styleId="CommentReference">
    <w:name w:val="annotation reference"/>
    <w:uiPriority w:val="99"/>
    <w:unhideWhenUsed/>
    <w:rsid w:val="00C16FC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16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pt-BR" w:eastAsia="en-US"/>
    </w:rPr>
  </w:style>
  <w:style w:type="character" w:styleId="Hyperlink">
    <w:name w:val="Hyperlink"/>
    <w:basedOn w:val="DefaultParagraphFont"/>
    <w:unhideWhenUsed/>
    <w:rsid w:val="00C16FC9"/>
    <w:rPr>
      <w:color w:val="0000FF" w:themeColor="hyperlink"/>
      <w:u w:val="single"/>
    </w:rPr>
  </w:style>
  <w:style w:type="paragraph" w:customStyle="1" w:styleId="Body">
    <w:name w:val="Body"/>
    <w:rsid w:val="00C16F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C9"/>
    <w:rPr>
      <w:rFonts w:ascii="Tahoma" w:eastAsia="MS Mincho" w:hAnsi="Tahoma" w:cs="Tahoma"/>
      <w:color w:val="000000"/>
      <w:kern w:val="28"/>
      <w:sz w:val="16"/>
      <w:szCs w:val="16"/>
      <w:lang w:val="it-I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ciar.gov.au/News2013July" TargetMode="External"/><Relationship Id="rId4" Type="http://schemas.openxmlformats.org/officeDocument/2006/relationships/hyperlink" Target="http://www.harvestplus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a1066999</cp:lastModifiedBy>
  <cp:revision>4</cp:revision>
  <cp:lastPrinted>2014-11-20T01:00:00Z</cp:lastPrinted>
  <dcterms:created xsi:type="dcterms:W3CDTF">2014-11-20T01:15:00Z</dcterms:created>
  <dcterms:modified xsi:type="dcterms:W3CDTF">2014-11-26T03:17:00Z</dcterms:modified>
</cp:coreProperties>
</file>