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3C" w:rsidRPr="00CB3B5D" w:rsidRDefault="0093223C" w:rsidP="0093223C">
      <w:pPr>
        <w:ind w:left="-567" w:right="-199"/>
        <w:jc w:val="both"/>
        <w:rPr>
          <w:b/>
          <w:bCs/>
        </w:rPr>
      </w:pPr>
      <w:r w:rsidRPr="00CB3B5D">
        <w:rPr>
          <w:b/>
          <w:bCs/>
        </w:rPr>
        <w:t>Miller, J 2010, ‘</w:t>
      </w:r>
      <w:r w:rsidRPr="00CB3B5D">
        <w:rPr>
          <w:b/>
          <w:bCs/>
          <w:i/>
        </w:rPr>
        <w:t>Coals to Newcastle or glittering gold</w:t>
      </w:r>
      <w:r w:rsidRPr="00CB3B5D">
        <w:rPr>
          <w:b/>
          <w:bCs/>
        </w:rPr>
        <w:t>? Which idioms need to be included in a learner’s dictionary for use in Australia?</w:t>
      </w:r>
      <w:proofErr w:type="gramStart"/>
      <w:r w:rsidRPr="00CB3B5D">
        <w:rPr>
          <w:b/>
          <w:bCs/>
        </w:rPr>
        <w:t>’,</w:t>
      </w:r>
      <w:proofErr w:type="gramEnd"/>
      <w:r w:rsidRPr="00CB3B5D">
        <w:rPr>
          <w:b/>
          <w:bCs/>
        </w:rPr>
        <w:t xml:space="preserve"> in A Dykstra &amp; T </w:t>
      </w:r>
      <w:proofErr w:type="spellStart"/>
      <w:r w:rsidRPr="00CB3B5D">
        <w:rPr>
          <w:b/>
          <w:bCs/>
        </w:rPr>
        <w:t>Schoonheim</w:t>
      </w:r>
      <w:proofErr w:type="spellEnd"/>
      <w:r w:rsidRPr="00CB3B5D">
        <w:rPr>
          <w:b/>
          <w:bCs/>
        </w:rPr>
        <w:t xml:space="preserve"> (</w:t>
      </w:r>
      <w:proofErr w:type="spellStart"/>
      <w:r w:rsidRPr="00CB3B5D">
        <w:rPr>
          <w:b/>
          <w:bCs/>
        </w:rPr>
        <w:t>eds</w:t>
      </w:r>
      <w:proofErr w:type="spellEnd"/>
      <w:r w:rsidRPr="00CB3B5D">
        <w:rPr>
          <w:b/>
          <w:bCs/>
        </w:rPr>
        <w:t xml:space="preserve">), Proceedings of the XIV Euralex International Congress, Leeuwarden, 6-10 July 2010, </w:t>
      </w:r>
      <w:proofErr w:type="spellStart"/>
      <w:r w:rsidRPr="00CB3B5D">
        <w:rPr>
          <w:b/>
          <w:bCs/>
        </w:rPr>
        <w:t>Fryske</w:t>
      </w:r>
      <w:proofErr w:type="spellEnd"/>
      <w:r w:rsidRPr="00CB3B5D">
        <w:rPr>
          <w:b/>
          <w:bCs/>
        </w:rPr>
        <w:t xml:space="preserve"> </w:t>
      </w:r>
      <w:proofErr w:type="spellStart"/>
      <w:r w:rsidRPr="00CB3B5D">
        <w:rPr>
          <w:b/>
          <w:bCs/>
        </w:rPr>
        <w:t>Akademy</w:t>
      </w:r>
      <w:proofErr w:type="spellEnd"/>
      <w:r w:rsidRPr="00CB3B5D">
        <w:rPr>
          <w:b/>
          <w:bCs/>
        </w:rPr>
        <w:t xml:space="preserve">, </w:t>
      </w:r>
      <w:proofErr w:type="spellStart"/>
      <w:r w:rsidRPr="00CB3B5D">
        <w:rPr>
          <w:b/>
          <w:bCs/>
        </w:rPr>
        <w:t>Ljouwert</w:t>
      </w:r>
      <w:proofErr w:type="spellEnd"/>
      <w:r w:rsidRPr="00CB3B5D">
        <w:rPr>
          <w:b/>
          <w:bCs/>
        </w:rPr>
        <w:t xml:space="preserve"> (CD-ROM).</w:t>
      </w:r>
    </w:p>
    <w:p w:rsidR="00DD692C" w:rsidRDefault="00DD692C">
      <w:pPr>
        <w:ind w:left="-567" w:right="-199"/>
        <w:jc w:val="both"/>
      </w:pPr>
    </w:p>
    <w:p w:rsidR="00DD692C" w:rsidRDefault="00DD692C">
      <w:pPr>
        <w:spacing w:line="480" w:lineRule="auto"/>
        <w:ind w:left="-567" w:right="-199"/>
        <w:jc w:val="both"/>
      </w:pPr>
      <w:r>
        <w:rPr>
          <w:b/>
          <w:bCs/>
        </w:rPr>
        <w:t>Introduction</w:t>
      </w:r>
    </w:p>
    <w:p w:rsidR="00DD692C" w:rsidRDefault="00DD692C">
      <w:pPr>
        <w:spacing w:line="480" w:lineRule="auto"/>
        <w:ind w:left="-567" w:right="-199" w:firstLine="567"/>
        <w:jc w:val="both"/>
      </w:pPr>
      <w:r>
        <w:t xml:space="preserve">The </w:t>
      </w:r>
      <w:r w:rsidR="00AD198C">
        <w:t xml:space="preserve">knowledge </w:t>
      </w:r>
      <w:r>
        <w:t xml:space="preserve">of figurative language in the form of idioms is one way in which a native speaker of English can </w:t>
      </w:r>
      <w:r w:rsidR="00AD198C">
        <w:t xml:space="preserve">understand and </w:t>
      </w:r>
      <w:r>
        <w:t>communicate with those around them, even extending to visual images based on these idioms. (</w:t>
      </w:r>
      <w:r w:rsidR="007F7176">
        <w:t>Many</w:t>
      </w:r>
      <w:r>
        <w:t xml:space="preserve"> umbrellas, for instance, carry pictures reflecting the idiom </w:t>
      </w:r>
      <w:r>
        <w:rPr>
          <w:i/>
          <w:iCs/>
        </w:rPr>
        <w:t>raining cats and dogs</w:t>
      </w:r>
      <w:r>
        <w:t xml:space="preserve">.) Such idioms, however, may not be readily understood by non-native speakers, or even by native speakers of a different generation or on a different continent. Many idioms are included in monolingual English </w:t>
      </w:r>
      <w:proofErr w:type="spellStart"/>
      <w:r>
        <w:t>learner’s</w:t>
      </w:r>
      <w:proofErr w:type="spellEnd"/>
      <w:r>
        <w:t xml:space="preserve"> dictionaries (MELDs), but their inclusion does not necessarily mean that they are used by all members of the English-speaking country in which a dictionary</w:t>
      </w:r>
      <w:r w:rsidR="00AD198C">
        <w:t xml:space="preserve"> is sold</w:t>
      </w:r>
      <w:r>
        <w:t xml:space="preserve">. Australia and the UK, for example, </w:t>
      </w:r>
      <w:r w:rsidR="007F7176">
        <w:t>despite</w:t>
      </w:r>
      <w:r>
        <w:t xml:space="preserve"> a degree of overlap, may use different idioms, and those idioms used by older speakers may not be known by younger speakers.</w:t>
      </w:r>
    </w:p>
    <w:p w:rsidR="00DD692C" w:rsidRDefault="00DD692C" w:rsidP="00AD198C">
      <w:pPr>
        <w:spacing w:line="480" w:lineRule="auto"/>
        <w:ind w:left="-567" w:right="-199" w:firstLine="567"/>
        <w:jc w:val="both"/>
      </w:pPr>
      <w:r>
        <w:t>The background to this study is a larger research project, still in progress,</w:t>
      </w:r>
      <w:r w:rsidR="00AD198C">
        <w:t xml:space="preserve"> on the use of idioms in MELDs</w:t>
      </w:r>
      <w:r>
        <w:t xml:space="preserve"> relative to the needs of a target group of university-age learners of E</w:t>
      </w:r>
      <w:r w:rsidR="00AD198C">
        <w:t xml:space="preserve">nglish (aged approximately </w:t>
      </w:r>
      <w:r w:rsidR="004C4DF7">
        <w:t xml:space="preserve">16 - </w:t>
      </w:r>
      <w:r>
        <w:t xml:space="preserve">22) in Australia. The project aims to discover which idioms from a selected list are used by which age groups in the UK and Australia and whether, according to the findings, MELDs need to reflect age and country usage more accurately in their inclusion of idioms and in their labelling systems. In Australia, the </w:t>
      </w:r>
      <w:r>
        <w:rPr>
          <w:i/>
          <w:iCs/>
        </w:rPr>
        <w:t xml:space="preserve">Macquarie learner’s dictionary </w:t>
      </w:r>
      <w:r w:rsidR="0057740B">
        <w:t>(</w:t>
      </w:r>
      <w:r w:rsidR="0057740B" w:rsidRPr="0057740B">
        <w:rPr>
          <w:i/>
        </w:rPr>
        <w:t>MLD</w:t>
      </w:r>
      <w:r w:rsidR="0057740B">
        <w:t xml:space="preserve">) </w:t>
      </w:r>
      <w:r>
        <w:t xml:space="preserve">of 1999 is now out of print, and so the only advanced learner’s dictionaries of English </w:t>
      </w:r>
      <w:r w:rsidR="00AD198C">
        <w:t xml:space="preserve">available </w:t>
      </w:r>
      <w:r>
        <w:t>are those produced in the UK</w:t>
      </w:r>
      <w:r w:rsidR="00AD198C">
        <w:t xml:space="preserve"> or the US</w:t>
      </w:r>
      <w:r>
        <w:t xml:space="preserve">. The dictionaries and editions listed here are those which were available to this researcher in September 2009:  </w:t>
      </w:r>
      <w:r>
        <w:rPr>
          <w:i/>
          <w:iCs/>
        </w:rPr>
        <w:t>Cambridge advanced learner’s dictionary, 3</w:t>
      </w:r>
      <w:r>
        <w:rPr>
          <w:i/>
          <w:iCs/>
          <w:vertAlign w:val="superscript"/>
        </w:rPr>
        <w:t>rd</w:t>
      </w:r>
      <w:r>
        <w:rPr>
          <w:i/>
          <w:iCs/>
        </w:rPr>
        <w:t xml:space="preserve"> edition (CALD 3), Collins</w:t>
      </w:r>
      <w:r>
        <w:t xml:space="preserve"> </w:t>
      </w:r>
      <w:proofErr w:type="spellStart"/>
      <w:r>
        <w:rPr>
          <w:i/>
          <w:iCs/>
        </w:rPr>
        <w:t>Cobuild</w:t>
      </w:r>
      <w:proofErr w:type="spellEnd"/>
      <w:r>
        <w:rPr>
          <w:i/>
          <w:iCs/>
        </w:rPr>
        <w:t xml:space="preserve"> advanced learner’s English dictionary, 4</w:t>
      </w:r>
      <w:r>
        <w:rPr>
          <w:i/>
          <w:iCs/>
          <w:vertAlign w:val="superscript"/>
        </w:rPr>
        <w:t>th</w:t>
      </w:r>
      <w:r>
        <w:rPr>
          <w:i/>
          <w:iCs/>
        </w:rPr>
        <w:t xml:space="preserve"> edition (Cobuild4), Longman dic</w:t>
      </w:r>
      <w:r w:rsidR="00AD198C">
        <w:rPr>
          <w:i/>
          <w:iCs/>
        </w:rPr>
        <w:t>tionary of contemporary English</w:t>
      </w:r>
      <w:r>
        <w:rPr>
          <w:i/>
          <w:iCs/>
        </w:rPr>
        <w:t>, 5</w:t>
      </w:r>
      <w:r>
        <w:rPr>
          <w:i/>
          <w:iCs/>
          <w:vertAlign w:val="superscript"/>
        </w:rPr>
        <w:t>th</w:t>
      </w:r>
      <w:r>
        <w:rPr>
          <w:i/>
          <w:iCs/>
        </w:rPr>
        <w:t xml:space="preserve"> edition (LDOCE5), Macmillan English dictionary for advanced learners, 2</w:t>
      </w:r>
      <w:r>
        <w:rPr>
          <w:i/>
          <w:iCs/>
          <w:vertAlign w:val="superscript"/>
        </w:rPr>
        <w:t>nd</w:t>
      </w:r>
      <w:r>
        <w:rPr>
          <w:i/>
          <w:iCs/>
        </w:rPr>
        <w:t xml:space="preserve"> edition (MEDAL2)</w:t>
      </w:r>
      <w:r>
        <w:t xml:space="preserve"> and</w:t>
      </w:r>
      <w:r>
        <w:rPr>
          <w:i/>
          <w:iCs/>
        </w:rPr>
        <w:t xml:space="preserve"> Oxford advanced learner’s dictionary, 7</w:t>
      </w:r>
      <w:r>
        <w:rPr>
          <w:i/>
          <w:iCs/>
          <w:vertAlign w:val="superscript"/>
        </w:rPr>
        <w:t>th</w:t>
      </w:r>
      <w:r>
        <w:rPr>
          <w:i/>
          <w:iCs/>
        </w:rPr>
        <w:t xml:space="preserve"> edition (OALD7)</w:t>
      </w:r>
      <w:r>
        <w:t xml:space="preserve">. Although these dictionaries include American and British variants, they cannot cover all English-speaking countries in depth. Many Australian expressions are therefore excluded, and many British </w:t>
      </w:r>
      <w:r>
        <w:lastRenderedPageBreak/>
        <w:t xml:space="preserve">expressions are given which may not be used either in </w:t>
      </w:r>
      <w:proofErr w:type="gramStart"/>
      <w:r>
        <w:t>Australia,</w:t>
      </w:r>
      <w:proofErr w:type="gramEnd"/>
      <w:r>
        <w:t xml:space="preserve"> or by the younger generation in Australia or the UK with whom most students are peers (</w:t>
      </w:r>
      <w:proofErr w:type="spellStart"/>
      <w:r>
        <w:t>Nesi</w:t>
      </w:r>
      <w:proofErr w:type="spellEnd"/>
      <w:r>
        <w:t xml:space="preserve"> 2000). There are of course dictionaries explicitly for idioms, but a student who comes across an expression such as </w:t>
      </w:r>
      <w:r>
        <w:rPr>
          <w:i/>
          <w:iCs/>
        </w:rPr>
        <w:t>a wolf in sheep’s clothing</w:t>
      </w:r>
      <w:r>
        <w:t xml:space="preserve"> may not recognise this immediately as an idiom and will therefore look up individual words first in a MELD. </w:t>
      </w:r>
      <w:r w:rsidR="007C5A0E" w:rsidRPr="00FA4269">
        <w:t xml:space="preserve">It is perhaps not possible to know what all users want from a dictionary, but Atkins and </w:t>
      </w:r>
      <w:proofErr w:type="spellStart"/>
      <w:r w:rsidR="007C5A0E" w:rsidRPr="00FA4269">
        <w:t>Rundell</w:t>
      </w:r>
      <w:proofErr w:type="spellEnd"/>
      <w:r w:rsidR="007C5A0E" w:rsidRPr="00FA4269">
        <w:t xml:space="preserve"> (2008, p. 32) suggest that 'a realistic goal is to meet the needs of most users most of the time.' </w:t>
      </w:r>
      <w:r w:rsidR="00AD198C">
        <w:t>This means that t</w:t>
      </w:r>
      <w:r>
        <w:t xml:space="preserve">he ‘Big 5’ </w:t>
      </w:r>
      <w:r w:rsidR="00AD198C">
        <w:t>listed above all contain idioms</w:t>
      </w:r>
      <w:r>
        <w:t>. This paper examines five idioms, and addresses the questions of which native English speakers in Australia know these idioms, where they first heard the</w:t>
      </w:r>
      <w:r w:rsidR="00AD198C">
        <w:t>m,</w:t>
      </w:r>
      <w:r>
        <w:t xml:space="preserve"> and where they and older native speakers would use them. The answers to these questions help to indicate </w:t>
      </w:r>
      <w:r w:rsidR="00AD198C">
        <w:t>where</w:t>
      </w:r>
      <w:r>
        <w:t xml:space="preserve"> a student in Australia is likely to encounter these and similar idioms.</w:t>
      </w:r>
    </w:p>
    <w:p w:rsidR="00DD692C" w:rsidRDefault="009D6AF1">
      <w:pPr>
        <w:spacing w:line="480" w:lineRule="auto"/>
        <w:ind w:left="-567" w:right="-199"/>
        <w:jc w:val="both"/>
        <w:rPr>
          <w:b/>
          <w:bCs/>
        </w:rPr>
      </w:pPr>
      <w:r>
        <w:rPr>
          <w:b/>
          <w:bCs/>
        </w:rPr>
        <w:t>Literature review</w:t>
      </w:r>
    </w:p>
    <w:p w:rsidR="009D6AF1" w:rsidRPr="007B078E" w:rsidRDefault="00DD692C" w:rsidP="00FA4269">
      <w:pPr>
        <w:pStyle w:val="BodyText"/>
        <w:spacing w:line="480" w:lineRule="auto"/>
        <w:ind w:left="-567" w:firstLine="567"/>
        <w:jc w:val="both"/>
        <w:rPr>
          <w:color w:val="auto"/>
        </w:rPr>
      </w:pPr>
      <w:r w:rsidRPr="00FA4269">
        <w:rPr>
          <w:color w:val="auto"/>
        </w:rPr>
        <w:t xml:space="preserve">The definition of the term ‘idiom’ is problematic. </w:t>
      </w:r>
      <w:proofErr w:type="spellStart"/>
      <w:r w:rsidRPr="00FA4269">
        <w:rPr>
          <w:color w:val="auto"/>
        </w:rPr>
        <w:t>Weinreich</w:t>
      </w:r>
      <w:proofErr w:type="spellEnd"/>
      <w:r w:rsidRPr="00FA4269">
        <w:rPr>
          <w:color w:val="auto"/>
        </w:rPr>
        <w:t xml:space="preserve"> (1969</w:t>
      </w:r>
      <w:r w:rsidR="00B23C60" w:rsidRPr="00FA4269">
        <w:rPr>
          <w:color w:val="auto"/>
        </w:rPr>
        <w:t>, p. 42</w:t>
      </w:r>
      <w:r w:rsidRPr="00FA4269">
        <w:rPr>
          <w:color w:val="auto"/>
        </w:rPr>
        <w:t xml:space="preserve">) </w:t>
      </w:r>
      <w:r w:rsidR="00B23C60" w:rsidRPr="00FA4269">
        <w:rPr>
          <w:color w:val="auto"/>
        </w:rPr>
        <w:t>defines</w:t>
      </w:r>
      <w:r w:rsidR="007B078E">
        <w:rPr>
          <w:color w:val="auto"/>
        </w:rPr>
        <w:t xml:space="preserve"> an idiom</w:t>
      </w:r>
      <w:r w:rsidRPr="00FA4269">
        <w:rPr>
          <w:color w:val="auto"/>
        </w:rPr>
        <w:t xml:space="preserve"> </w:t>
      </w:r>
      <w:r w:rsidR="00B23C60" w:rsidRPr="00FA4269">
        <w:rPr>
          <w:color w:val="auto"/>
        </w:rPr>
        <w:t xml:space="preserve">as </w:t>
      </w:r>
      <w:r w:rsidR="007B078E">
        <w:rPr>
          <w:color w:val="auto"/>
        </w:rPr>
        <w:t xml:space="preserve">a </w:t>
      </w:r>
      <w:proofErr w:type="spellStart"/>
      <w:r w:rsidR="007B078E">
        <w:rPr>
          <w:color w:val="auto"/>
        </w:rPr>
        <w:t>phraseological</w:t>
      </w:r>
      <w:proofErr w:type="spellEnd"/>
      <w:r w:rsidR="007B078E">
        <w:rPr>
          <w:color w:val="auto"/>
        </w:rPr>
        <w:t xml:space="preserve"> unit</w:t>
      </w:r>
      <w:r w:rsidR="00B23C60" w:rsidRPr="00FA4269">
        <w:rPr>
          <w:color w:val="auto"/>
        </w:rPr>
        <w:t xml:space="preserve"> with ‘at least two </w:t>
      </w:r>
      <w:proofErr w:type="spellStart"/>
      <w:r w:rsidR="00B23C60" w:rsidRPr="00FA4269">
        <w:rPr>
          <w:color w:val="auto"/>
        </w:rPr>
        <w:t>polysemous</w:t>
      </w:r>
      <w:proofErr w:type="spellEnd"/>
      <w:r w:rsidR="00B23C60" w:rsidRPr="00FA4269">
        <w:rPr>
          <w:color w:val="auto"/>
        </w:rPr>
        <w:t xml:space="preserve"> constituents</w:t>
      </w:r>
      <w:r w:rsidR="007B078E">
        <w:rPr>
          <w:color w:val="auto"/>
        </w:rPr>
        <w:t>’</w:t>
      </w:r>
      <w:r w:rsidR="00B23C60" w:rsidRPr="00FA4269">
        <w:rPr>
          <w:color w:val="auto"/>
        </w:rPr>
        <w:t>,</w:t>
      </w:r>
      <w:r w:rsidR="007B078E" w:rsidRPr="007B078E">
        <w:rPr>
          <w:rFonts w:ascii="Arial" w:hAnsi="Arial" w:cs="Arial"/>
          <w:lang w:eastAsia="en-AU"/>
        </w:rPr>
        <w:t xml:space="preserve"> </w:t>
      </w:r>
      <w:r w:rsidR="007B078E" w:rsidRPr="007F7176">
        <w:rPr>
          <w:color w:val="auto"/>
          <w:lang w:eastAsia="en-AU"/>
        </w:rPr>
        <w:t xml:space="preserve">and refers to the ‘common understanding’ that the </w:t>
      </w:r>
      <w:r w:rsidR="00AD198C" w:rsidRPr="007F7176">
        <w:rPr>
          <w:color w:val="auto"/>
          <w:lang w:eastAsia="en-AU"/>
        </w:rPr>
        <w:t>‘</w:t>
      </w:r>
      <w:r w:rsidR="007B078E" w:rsidRPr="007F7176">
        <w:rPr>
          <w:color w:val="auto"/>
          <w:lang w:eastAsia="en-AU"/>
        </w:rPr>
        <w:t>meaning cannot be derived from the meanings of its elements'</w:t>
      </w:r>
      <w:r w:rsidR="00AD198C" w:rsidRPr="007F7176">
        <w:rPr>
          <w:color w:val="auto"/>
          <w:lang w:eastAsia="en-AU"/>
        </w:rPr>
        <w:t xml:space="preserve"> (p. 26)</w:t>
      </w:r>
      <w:r w:rsidR="007B078E" w:rsidRPr="007F7176">
        <w:rPr>
          <w:color w:val="auto"/>
          <w:lang w:eastAsia="en-AU"/>
        </w:rPr>
        <w:t>.</w:t>
      </w:r>
      <w:r w:rsidR="00B23C60" w:rsidRPr="00FA4269">
        <w:rPr>
          <w:color w:val="auto"/>
        </w:rPr>
        <w:t xml:space="preserve"> </w:t>
      </w:r>
      <w:r w:rsidR="009D6AF1" w:rsidRPr="00FA4269">
        <w:rPr>
          <w:color w:val="auto"/>
        </w:rPr>
        <w:t>There are writers who claim that only opaque metaphors are idioms (</w:t>
      </w:r>
      <w:r w:rsidR="007F7176">
        <w:rPr>
          <w:color w:val="auto"/>
        </w:rPr>
        <w:t xml:space="preserve">e.g. </w:t>
      </w:r>
      <w:proofErr w:type="spellStart"/>
      <w:r w:rsidR="008746CF">
        <w:rPr>
          <w:color w:val="auto"/>
        </w:rPr>
        <w:t>Glä</w:t>
      </w:r>
      <w:r w:rsidR="009D6AF1" w:rsidRPr="00FA4269">
        <w:rPr>
          <w:color w:val="auto"/>
        </w:rPr>
        <w:t>ser</w:t>
      </w:r>
      <w:proofErr w:type="spellEnd"/>
      <w:r w:rsidR="009D6AF1" w:rsidRPr="00FA4269">
        <w:rPr>
          <w:color w:val="auto"/>
        </w:rPr>
        <w:t xml:space="preserve"> 1998, </w:t>
      </w:r>
      <w:proofErr w:type="spellStart"/>
      <w:r w:rsidR="009D6AF1" w:rsidRPr="00FA4269">
        <w:rPr>
          <w:color w:val="auto"/>
        </w:rPr>
        <w:t>Deignan</w:t>
      </w:r>
      <w:proofErr w:type="spellEnd"/>
      <w:r w:rsidR="009D6AF1" w:rsidRPr="00FA4269">
        <w:rPr>
          <w:color w:val="auto"/>
        </w:rPr>
        <w:t xml:space="preserve"> 1999</w:t>
      </w:r>
      <w:r w:rsidR="007F7176">
        <w:rPr>
          <w:color w:val="auto"/>
        </w:rPr>
        <w:t>,</w:t>
      </w:r>
      <w:r w:rsidR="007F7176" w:rsidRPr="007F7176">
        <w:rPr>
          <w:color w:val="auto"/>
        </w:rPr>
        <w:t xml:space="preserve"> </w:t>
      </w:r>
      <w:proofErr w:type="spellStart"/>
      <w:proofErr w:type="gramStart"/>
      <w:r w:rsidR="008746CF">
        <w:rPr>
          <w:color w:val="auto"/>
        </w:rPr>
        <w:t>Čermá</w:t>
      </w:r>
      <w:r w:rsidR="007F7176">
        <w:rPr>
          <w:color w:val="auto"/>
        </w:rPr>
        <w:t>k</w:t>
      </w:r>
      <w:proofErr w:type="spellEnd"/>
      <w:proofErr w:type="gramEnd"/>
      <w:r w:rsidR="007F7176">
        <w:rPr>
          <w:color w:val="auto"/>
        </w:rPr>
        <w:t xml:space="preserve"> 2001</w:t>
      </w:r>
      <w:r w:rsidR="009D6AF1" w:rsidRPr="00FA4269">
        <w:rPr>
          <w:color w:val="auto"/>
        </w:rPr>
        <w:t>). Others (</w:t>
      </w:r>
      <w:r w:rsidR="00FA4269">
        <w:rPr>
          <w:color w:val="auto"/>
        </w:rPr>
        <w:t>e</w:t>
      </w:r>
      <w:r w:rsidR="007F7176">
        <w:rPr>
          <w:color w:val="auto"/>
        </w:rPr>
        <w:t>.</w:t>
      </w:r>
      <w:r w:rsidR="00FA4269">
        <w:rPr>
          <w:color w:val="auto"/>
        </w:rPr>
        <w:t>g</w:t>
      </w:r>
      <w:r w:rsidR="007F7176">
        <w:rPr>
          <w:color w:val="auto"/>
        </w:rPr>
        <w:t>.</w:t>
      </w:r>
      <w:r w:rsidR="00FA4269">
        <w:rPr>
          <w:color w:val="auto"/>
        </w:rPr>
        <w:t xml:space="preserve"> </w:t>
      </w:r>
      <w:r w:rsidR="009D6AF1" w:rsidRPr="00FA4269">
        <w:rPr>
          <w:color w:val="auto"/>
        </w:rPr>
        <w:t>Moon 1998) maintain that a degree of transparency is possible. Yet others (</w:t>
      </w:r>
      <w:r w:rsidR="0048427B">
        <w:rPr>
          <w:color w:val="auto"/>
        </w:rPr>
        <w:t xml:space="preserve">e.g. </w:t>
      </w:r>
      <w:proofErr w:type="spellStart"/>
      <w:r w:rsidR="009D6AF1" w:rsidRPr="00FA4269">
        <w:rPr>
          <w:color w:val="auto"/>
        </w:rPr>
        <w:t>Cowie</w:t>
      </w:r>
      <w:proofErr w:type="spellEnd"/>
      <w:r w:rsidR="009D6AF1" w:rsidRPr="00FA4269">
        <w:rPr>
          <w:color w:val="auto"/>
        </w:rPr>
        <w:t xml:space="preserve"> </w:t>
      </w:r>
      <w:r w:rsidR="0048427B">
        <w:rPr>
          <w:color w:val="auto"/>
        </w:rPr>
        <w:t>1981,</w:t>
      </w:r>
      <w:r w:rsidR="009D6AF1" w:rsidRPr="00FA4269">
        <w:rPr>
          <w:color w:val="auto"/>
        </w:rPr>
        <w:t xml:space="preserve"> </w:t>
      </w:r>
      <w:proofErr w:type="spellStart"/>
      <w:r w:rsidR="009D6AF1" w:rsidRPr="00FA4269">
        <w:rPr>
          <w:color w:val="auto"/>
        </w:rPr>
        <w:t>Zgusta</w:t>
      </w:r>
      <w:proofErr w:type="spellEnd"/>
      <w:r w:rsidR="009D6AF1" w:rsidRPr="00FA4269">
        <w:rPr>
          <w:color w:val="auto"/>
        </w:rPr>
        <w:t xml:space="preserve"> 1971 in </w:t>
      </w:r>
      <w:proofErr w:type="spellStart"/>
      <w:r w:rsidR="009D6AF1" w:rsidRPr="00FA4269">
        <w:rPr>
          <w:color w:val="auto"/>
        </w:rPr>
        <w:t>Howarth</w:t>
      </w:r>
      <w:proofErr w:type="spellEnd"/>
      <w:r w:rsidR="009D6AF1" w:rsidRPr="00FA4269">
        <w:rPr>
          <w:color w:val="auto"/>
        </w:rPr>
        <w:t xml:space="preserve"> 1996) distinguish between pure and figurative idioms.  Fillmore, Kay and O’Connor (1988) say that ‘an idiomatic expression or construction is something a language user could fail to know while knowing everything else in the language’ (p. 504). </w:t>
      </w:r>
      <w:r w:rsidR="007B078E">
        <w:rPr>
          <w:color w:val="auto"/>
        </w:rPr>
        <w:t xml:space="preserve">Idioms were selected for the </w:t>
      </w:r>
      <w:r w:rsidR="007B078E">
        <w:rPr>
          <w:i/>
          <w:color w:val="auto"/>
        </w:rPr>
        <w:t>Macquarie learners’ dictionary</w:t>
      </w:r>
      <w:r w:rsidR="007B078E">
        <w:rPr>
          <w:color w:val="auto"/>
        </w:rPr>
        <w:t xml:space="preserve"> based on the editors’ judgement of whether ‘a learner would have trouble understanding it’ (</w:t>
      </w:r>
      <w:r w:rsidR="007B078E" w:rsidRPr="00FA4269">
        <w:rPr>
          <w:color w:val="auto"/>
        </w:rPr>
        <w:t>Ann Atkinson, Senior Editor</w:t>
      </w:r>
      <w:r w:rsidR="00367747">
        <w:rPr>
          <w:color w:val="auto"/>
        </w:rPr>
        <w:t xml:space="preserve">, </w:t>
      </w:r>
      <w:r w:rsidR="00367747">
        <w:rPr>
          <w:i/>
          <w:color w:val="auto"/>
        </w:rPr>
        <w:t>Macquarie d</w:t>
      </w:r>
      <w:r w:rsidR="007B078E" w:rsidRPr="00367747">
        <w:rPr>
          <w:i/>
          <w:color w:val="auto"/>
        </w:rPr>
        <w:t>ictionary</w:t>
      </w:r>
      <w:r w:rsidR="007B078E" w:rsidRPr="00FA4269">
        <w:rPr>
          <w:color w:val="auto"/>
        </w:rPr>
        <w:t xml:space="preserve">, </w:t>
      </w:r>
      <w:r w:rsidR="007B078E">
        <w:rPr>
          <w:color w:val="auto"/>
        </w:rPr>
        <w:t>personal communication,</w:t>
      </w:r>
      <w:r w:rsidR="007B078E" w:rsidRPr="00FA4269">
        <w:rPr>
          <w:color w:val="auto"/>
        </w:rPr>
        <w:t xml:space="preserve"> 9 November 2006</w:t>
      </w:r>
      <w:r w:rsidR="007B078E">
        <w:rPr>
          <w:color w:val="auto"/>
        </w:rPr>
        <w:t>).</w:t>
      </w:r>
    </w:p>
    <w:p w:rsidR="00367747" w:rsidRDefault="006B1E0D" w:rsidP="00367747">
      <w:pPr>
        <w:pStyle w:val="BodyText"/>
        <w:spacing w:line="480" w:lineRule="auto"/>
        <w:ind w:left="-567" w:firstLine="567"/>
        <w:jc w:val="both"/>
        <w:rPr>
          <w:color w:val="auto"/>
        </w:rPr>
      </w:pPr>
      <w:r>
        <w:rPr>
          <w:color w:val="auto"/>
        </w:rPr>
        <w:t xml:space="preserve">Institutionalisation is </w:t>
      </w:r>
      <w:r w:rsidR="009D6AF1" w:rsidRPr="00FA4269">
        <w:rPr>
          <w:color w:val="auto"/>
        </w:rPr>
        <w:t xml:space="preserve">seen as central to </w:t>
      </w:r>
      <w:proofErr w:type="spellStart"/>
      <w:r w:rsidR="009D6AF1" w:rsidRPr="00FA4269">
        <w:rPr>
          <w:color w:val="auto"/>
        </w:rPr>
        <w:t>idiomaticity</w:t>
      </w:r>
      <w:proofErr w:type="spellEnd"/>
      <w:r w:rsidR="009D6AF1" w:rsidRPr="00FA4269">
        <w:rPr>
          <w:color w:val="auto"/>
        </w:rPr>
        <w:t xml:space="preserve"> (Hanks 2004, p. 256), meaning that an idiom is ‘recognized and accepted as a lexical item of the language' (Bauer 1983, p. 48 in Moon 1998, p. 7). Institutionalisation does not necessarily imply frequent use.  Moon (1998, p. 56) calls a frequency of 0.55 per million ‘high’ when referring to fixed expressions and idioms (FEIs) in the </w:t>
      </w:r>
      <w:r w:rsidR="009D6AF1" w:rsidRPr="00FA4269">
        <w:rPr>
          <w:color w:val="auto"/>
        </w:rPr>
        <w:lastRenderedPageBreak/>
        <w:t xml:space="preserve">Oxford Hector Pilot Corpus.  </w:t>
      </w:r>
      <w:r w:rsidR="007C5A0E">
        <w:rPr>
          <w:color w:val="auto"/>
        </w:rPr>
        <w:t xml:space="preserve">The </w:t>
      </w:r>
      <w:r w:rsidR="0057740B">
        <w:rPr>
          <w:i/>
          <w:color w:val="auto"/>
        </w:rPr>
        <w:t>MLD</w:t>
      </w:r>
      <w:r w:rsidR="007C5A0E">
        <w:rPr>
          <w:color w:val="auto"/>
        </w:rPr>
        <w:t xml:space="preserve"> editors </w:t>
      </w:r>
      <w:r w:rsidR="00AD198C">
        <w:rPr>
          <w:color w:val="auto"/>
        </w:rPr>
        <w:t>gave</w:t>
      </w:r>
      <w:r w:rsidR="007C5A0E">
        <w:rPr>
          <w:color w:val="auto"/>
        </w:rPr>
        <w:t xml:space="preserve"> common use as a criterion for inclusion (Ann Atkinson, pers.</w:t>
      </w:r>
      <w:r w:rsidR="0057740B">
        <w:rPr>
          <w:color w:val="auto"/>
        </w:rPr>
        <w:t xml:space="preserve"> </w:t>
      </w:r>
      <w:r w:rsidR="007C5A0E">
        <w:rPr>
          <w:color w:val="auto"/>
        </w:rPr>
        <w:t>comm., 2006)</w:t>
      </w:r>
      <w:r w:rsidR="00AD198C">
        <w:rPr>
          <w:color w:val="auto"/>
        </w:rPr>
        <w:t>, although ‘common use’ may be a relative term</w:t>
      </w:r>
      <w:r w:rsidR="007C5A0E">
        <w:rPr>
          <w:color w:val="auto"/>
        </w:rPr>
        <w:t xml:space="preserve">.  </w:t>
      </w:r>
    </w:p>
    <w:p w:rsidR="00913761" w:rsidRPr="00FA4269" w:rsidRDefault="00DD692C" w:rsidP="00367747">
      <w:pPr>
        <w:pStyle w:val="BodyText"/>
        <w:spacing w:line="480" w:lineRule="auto"/>
        <w:ind w:left="-567" w:firstLine="567"/>
        <w:jc w:val="both"/>
        <w:rPr>
          <w:color w:val="auto"/>
        </w:rPr>
      </w:pPr>
      <w:r w:rsidRPr="00FA4269">
        <w:rPr>
          <w:color w:val="auto"/>
        </w:rPr>
        <w:t xml:space="preserve">Stein wrote in 1999 that the principal </w:t>
      </w:r>
      <w:r w:rsidR="006B1E0D">
        <w:rPr>
          <w:color w:val="auto"/>
        </w:rPr>
        <w:t>ME</w:t>
      </w:r>
      <w:r w:rsidRPr="00FA4269">
        <w:rPr>
          <w:color w:val="auto"/>
        </w:rPr>
        <w:t xml:space="preserve">LDs used a British framework </w:t>
      </w:r>
      <w:r w:rsidR="00F76AE1">
        <w:rPr>
          <w:color w:val="auto"/>
        </w:rPr>
        <w:t>to express</w:t>
      </w:r>
      <w:r w:rsidRPr="00FA4269">
        <w:rPr>
          <w:color w:val="auto"/>
        </w:rPr>
        <w:t xml:space="preserve"> social and cultural</w:t>
      </w:r>
      <w:r w:rsidR="00F76AE1">
        <w:rPr>
          <w:color w:val="auto"/>
        </w:rPr>
        <w:t xml:space="preserve"> items</w:t>
      </w:r>
      <w:r w:rsidRPr="00FA4269">
        <w:rPr>
          <w:color w:val="auto"/>
        </w:rPr>
        <w:t xml:space="preserve">.  </w:t>
      </w:r>
      <w:proofErr w:type="spellStart"/>
      <w:r w:rsidR="00CA3FDD">
        <w:rPr>
          <w:color w:val="auto"/>
        </w:rPr>
        <w:t>Algeo</w:t>
      </w:r>
      <w:proofErr w:type="spellEnd"/>
      <w:r w:rsidR="00CA3FDD">
        <w:rPr>
          <w:color w:val="auto"/>
        </w:rPr>
        <w:t xml:space="preserve"> (1995) had previously spoken</w:t>
      </w:r>
      <w:r w:rsidRPr="00FA4269">
        <w:rPr>
          <w:color w:val="auto"/>
        </w:rPr>
        <w:t xml:space="preserve"> against</w:t>
      </w:r>
      <w:r w:rsidR="00CA3FDD">
        <w:rPr>
          <w:color w:val="auto"/>
        </w:rPr>
        <w:t xml:space="preserve"> such</w:t>
      </w:r>
      <w:r w:rsidRPr="00FA4269">
        <w:rPr>
          <w:color w:val="auto"/>
        </w:rPr>
        <w:t xml:space="preserve"> national bias, particularly with regard to variations betwee</w:t>
      </w:r>
      <w:r w:rsidR="00CA3FDD">
        <w:rPr>
          <w:color w:val="auto"/>
        </w:rPr>
        <w:t xml:space="preserve">n American and British English and the choice of lexical items in a dictionary. </w:t>
      </w:r>
      <w:r w:rsidR="00CA3FDD" w:rsidRPr="00FA4269">
        <w:rPr>
          <w:color w:val="auto"/>
        </w:rPr>
        <w:t xml:space="preserve">Leech and </w:t>
      </w:r>
      <w:proofErr w:type="spellStart"/>
      <w:r w:rsidR="00CA3FDD" w:rsidRPr="00FA4269">
        <w:rPr>
          <w:color w:val="auto"/>
        </w:rPr>
        <w:t>Nesi</w:t>
      </w:r>
      <w:proofErr w:type="spellEnd"/>
      <w:r w:rsidR="00CA3FDD">
        <w:rPr>
          <w:color w:val="auto"/>
        </w:rPr>
        <w:t xml:space="preserve"> also claimed in 1999 (p. 300) that MELDs</w:t>
      </w:r>
      <w:r w:rsidR="00CA3FDD" w:rsidRPr="00FA4269">
        <w:rPr>
          <w:color w:val="auto"/>
        </w:rPr>
        <w:t xml:space="preserve"> did not do enough to include varieties </w:t>
      </w:r>
      <w:r w:rsidR="00CA3FDD">
        <w:rPr>
          <w:color w:val="auto"/>
        </w:rPr>
        <w:t xml:space="preserve">other than British or American. </w:t>
      </w:r>
      <w:r w:rsidR="00913761" w:rsidRPr="00FA4269">
        <w:rPr>
          <w:color w:val="auto"/>
        </w:rPr>
        <w:t xml:space="preserve">This may still be the case, as </w:t>
      </w:r>
      <w:r w:rsidR="009D6AF1" w:rsidRPr="00FA4269">
        <w:rPr>
          <w:color w:val="auto"/>
        </w:rPr>
        <w:t>the Australian market, for example, is much smaller than</w:t>
      </w:r>
      <w:r w:rsidR="006B1E0D">
        <w:rPr>
          <w:color w:val="auto"/>
        </w:rPr>
        <w:t xml:space="preserve"> the American or British market, a</w:t>
      </w:r>
      <w:r w:rsidR="00FE4050">
        <w:rPr>
          <w:color w:val="auto"/>
        </w:rPr>
        <w:t>nd may not be fully represented.</w:t>
      </w:r>
    </w:p>
    <w:p w:rsidR="00B23C60" w:rsidRPr="00FA4269" w:rsidRDefault="00913761" w:rsidP="00FA4269">
      <w:pPr>
        <w:pStyle w:val="BodyText"/>
        <w:spacing w:line="480" w:lineRule="auto"/>
        <w:ind w:left="-567" w:firstLine="567"/>
        <w:jc w:val="both"/>
        <w:rPr>
          <w:color w:val="auto"/>
        </w:rPr>
      </w:pPr>
      <w:r w:rsidRPr="00FA4269">
        <w:rPr>
          <w:color w:val="auto"/>
        </w:rPr>
        <w:t>The use of idioms may</w:t>
      </w:r>
      <w:r w:rsidR="00CA3FDD">
        <w:rPr>
          <w:color w:val="auto"/>
        </w:rPr>
        <w:t xml:space="preserve"> also</w:t>
      </w:r>
      <w:r w:rsidRPr="00FA4269">
        <w:rPr>
          <w:color w:val="auto"/>
        </w:rPr>
        <w:t xml:space="preserve"> vary between countries and age groups. Low and Littlemore </w:t>
      </w:r>
      <w:r w:rsidR="00CA3FDD">
        <w:rPr>
          <w:color w:val="auto"/>
        </w:rPr>
        <w:t>(2009)</w:t>
      </w:r>
      <w:r w:rsidRPr="00FA4269">
        <w:rPr>
          <w:color w:val="auto"/>
        </w:rPr>
        <w:t xml:space="preserve"> suggest </w:t>
      </w:r>
      <w:r w:rsidR="00DD692C" w:rsidRPr="00FA4269">
        <w:rPr>
          <w:color w:val="auto"/>
        </w:rPr>
        <w:t xml:space="preserve">that more research needs to be done on regional variations in metaphoric language. </w:t>
      </w:r>
      <w:r w:rsidR="00B342FE">
        <w:rPr>
          <w:color w:val="auto"/>
        </w:rPr>
        <w:t>Their study refers to classroom management, but this finding could be more broadly applied.</w:t>
      </w:r>
      <w:r w:rsidRPr="00FA4269">
        <w:rPr>
          <w:color w:val="auto"/>
        </w:rPr>
        <w:t xml:space="preserve"> </w:t>
      </w:r>
      <w:r w:rsidR="00B23C60" w:rsidRPr="00FA4269">
        <w:rPr>
          <w:color w:val="auto"/>
        </w:rPr>
        <w:t>Curtain’s study (2001)</w:t>
      </w:r>
      <w:r w:rsidR="0057740B">
        <w:rPr>
          <w:color w:val="auto"/>
        </w:rPr>
        <w:t>, meanwhile,</w:t>
      </w:r>
      <w:r w:rsidR="00B23C60" w:rsidRPr="00FA4269">
        <w:rPr>
          <w:color w:val="auto"/>
        </w:rPr>
        <w:t xml:space="preserve"> reveals that speakers of English in Australia in the over 50 age group knew more colloquial expressions th</w:t>
      </w:r>
      <w:r w:rsidR="00CA3FDD">
        <w:rPr>
          <w:color w:val="auto"/>
        </w:rPr>
        <w:t xml:space="preserve">an those in the 18-28 age </w:t>
      </w:r>
      <w:proofErr w:type="gramStart"/>
      <w:r w:rsidR="00CA3FDD">
        <w:rPr>
          <w:color w:val="auto"/>
        </w:rPr>
        <w:t>group</w:t>
      </w:r>
      <w:proofErr w:type="gramEnd"/>
      <w:r w:rsidR="006B1E0D">
        <w:rPr>
          <w:color w:val="auto"/>
        </w:rPr>
        <w:t xml:space="preserve">. </w:t>
      </w:r>
      <w:r w:rsidR="0057740B">
        <w:rPr>
          <w:color w:val="auto"/>
        </w:rPr>
        <w:t>Thus age and location are likely to be factors in idiom use.</w:t>
      </w:r>
    </w:p>
    <w:p w:rsidR="00DD692C" w:rsidRDefault="00DD692C">
      <w:pPr>
        <w:spacing w:line="480" w:lineRule="auto"/>
        <w:ind w:left="-567" w:right="-199" w:firstLine="567"/>
        <w:jc w:val="both"/>
      </w:pPr>
      <w:r>
        <w:t>For the purposes of this study, ‘idiom’ is used to refer to a figurative expression of</w:t>
      </w:r>
      <w:r w:rsidR="00913761">
        <w:t xml:space="preserve"> at least</w:t>
      </w:r>
      <w:r>
        <w:t xml:space="preserve"> two words, whose meaning is non-literal and therefore may be opaque to those who hear it for the first time. Some expressions that carry a more proverbial usage, such as </w:t>
      </w:r>
      <w:r>
        <w:rPr>
          <w:i/>
          <w:iCs/>
        </w:rPr>
        <w:t>all that glitters is not gold</w:t>
      </w:r>
      <w:r>
        <w:t>, are also included, since these are also</w:t>
      </w:r>
      <w:r>
        <w:rPr>
          <w:i/>
          <w:iCs/>
        </w:rPr>
        <w:t xml:space="preserve"> </w:t>
      </w:r>
      <w:r w:rsidR="006B1E0D">
        <w:t>labelled</w:t>
      </w:r>
      <w:r>
        <w:t xml:space="preserve"> as ‘idioms’ in </w:t>
      </w:r>
      <w:r w:rsidR="006B1E0D">
        <w:t>most</w:t>
      </w:r>
      <w:r>
        <w:t xml:space="preserve"> MELDs. </w:t>
      </w:r>
    </w:p>
    <w:p w:rsidR="00DD692C" w:rsidRDefault="00DD692C">
      <w:pPr>
        <w:spacing w:line="480" w:lineRule="auto"/>
        <w:ind w:left="-567" w:right="-199"/>
        <w:jc w:val="both"/>
      </w:pPr>
      <w:r>
        <w:rPr>
          <w:b/>
          <w:bCs/>
        </w:rPr>
        <w:t>Study</w:t>
      </w:r>
    </w:p>
    <w:p w:rsidR="00DD692C" w:rsidRDefault="00DD692C">
      <w:pPr>
        <w:spacing w:line="480" w:lineRule="auto"/>
        <w:ind w:left="-567" w:right="-199" w:firstLine="567"/>
        <w:jc w:val="both"/>
      </w:pPr>
      <w:r>
        <w:t xml:space="preserve">The overall aim of the larger study was to elicit as many idioms as possible from different age groups in the UK and Australia, using a given list as a prompt, and to compare knowledge and use of these idioms according to country and age group. A list of 84 idioms was drawn up based on the list at the back of the </w:t>
      </w:r>
      <w:r>
        <w:rPr>
          <w:i/>
          <w:iCs/>
        </w:rPr>
        <w:t>CALD</w:t>
      </w:r>
      <w:r w:rsidR="009B5953">
        <w:rPr>
          <w:i/>
          <w:iCs/>
        </w:rPr>
        <w:t>2</w:t>
      </w:r>
      <w:r>
        <w:t xml:space="preserve">. Each idiom had to appear in at least two of the major English advanced learner’s dictionaries, and/or in the </w:t>
      </w:r>
      <w:r>
        <w:rPr>
          <w:i/>
          <w:iCs/>
        </w:rPr>
        <w:t>Macquarie learner’s dictionary</w:t>
      </w:r>
      <w:r>
        <w:t>. These idioms represented the categories of Biblical, literary/historical, British, Australian, and older reference (e</w:t>
      </w:r>
      <w:r w:rsidR="008746CF">
        <w:t>.</w:t>
      </w:r>
      <w:r>
        <w:t>g</w:t>
      </w:r>
      <w:r w:rsidR="008746CF">
        <w:t>.</w:t>
      </w:r>
      <w:r>
        <w:t xml:space="preserve"> referring to steam-powered vehicles). The idioms were separated into six online surveys,</w:t>
      </w:r>
      <w:r w:rsidR="008746CF">
        <w:t xml:space="preserve"> and p</w:t>
      </w:r>
      <w:r>
        <w:t xml:space="preserve">articipation was </w:t>
      </w:r>
      <w:r>
        <w:lastRenderedPageBreak/>
        <w:t xml:space="preserve">invited online and through contact with schools.  The total number of completed surveys was 2085, with some participants completing more than one survey. </w:t>
      </w:r>
    </w:p>
    <w:p w:rsidR="00DD692C" w:rsidRDefault="00DD692C">
      <w:pPr>
        <w:spacing w:line="480" w:lineRule="auto"/>
        <w:ind w:left="-567" w:right="-199" w:firstLine="567"/>
        <w:jc w:val="both"/>
      </w:pPr>
      <w:r>
        <w:t xml:space="preserve">This paper is based on five of the idioms in the first survey: (1) </w:t>
      </w:r>
      <w:r>
        <w:rPr>
          <w:i/>
          <w:iCs/>
        </w:rPr>
        <w:t>a wolf in sheep’s clothing</w:t>
      </w:r>
      <w:r>
        <w:t xml:space="preserve"> (Biblical, then popularised in Townsend’s nineteenth century translation of Aesop’s fables)</w:t>
      </w:r>
      <w:r w:rsidR="008C09C1">
        <w:t>;</w:t>
      </w:r>
      <w:r>
        <w:t xml:space="preserve"> (2)</w:t>
      </w:r>
      <w:r>
        <w:rPr>
          <w:i/>
          <w:iCs/>
        </w:rPr>
        <w:t xml:space="preserve"> all that glitters is not gold</w:t>
      </w:r>
      <w:r>
        <w:t xml:space="preserve"> (Shakespeare - literary); (3) </w:t>
      </w:r>
      <w:r>
        <w:rPr>
          <w:i/>
          <w:iCs/>
        </w:rPr>
        <w:t xml:space="preserve">back of Bourke </w:t>
      </w:r>
      <w:r>
        <w:t xml:space="preserve">(Australian);  4) </w:t>
      </w:r>
      <w:r>
        <w:rPr>
          <w:i/>
          <w:iCs/>
        </w:rPr>
        <w:t>carry/take coals to Newcastle</w:t>
      </w:r>
      <w:r>
        <w:t xml:space="preserve"> (UK); and (5) </w:t>
      </w:r>
      <w:r>
        <w:rPr>
          <w:i/>
          <w:iCs/>
        </w:rPr>
        <w:t xml:space="preserve">full steam ahead </w:t>
      </w:r>
      <w:r>
        <w:t>(older reference)</w:t>
      </w:r>
      <w:r>
        <w:rPr>
          <w:i/>
          <w:iCs/>
        </w:rPr>
        <w:t>.</w:t>
      </w:r>
      <w:r>
        <w:t xml:space="preserve"> The popular form of these idioms, as given in the MELDs, was used in the survey, so that </w:t>
      </w:r>
      <w:proofErr w:type="gramStart"/>
      <w:r>
        <w:rPr>
          <w:i/>
          <w:iCs/>
        </w:rPr>
        <w:t>glitters</w:t>
      </w:r>
      <w:r>
        <w:t xml:space="preserve"> was</w:t>
      </w:r>
      <w:proofErr w:type="gramEnd"/>
      <w:r>
        <w:t xml:space="preserve"> used rather than the original </w:t>
      </w:r>
      <w:r>
        <w:rPr>
          <w:i/>
          <w:iCs/>
        </w:rPr>
        <w:t>glisters</w:t>
      </w:r>
      <w:r>
        <w:t>, for example. Participants were asked to state if they knew the idiom and if so, where they had first heard it and where they might use it.  The results of their responses are discussed below.</w:t>
      </w:r>
    </w:p>
    <w:p w:rsidR="00DD692C" w:rsidRDefault="00DD692C">
      <w:pPr>
        <w:spacing w:line="480" w:lineRule="auto"/>
        <w:ind w:left="-567" w:right="-199"/>
        <w:jc w:val="both"/>
      </w:pPr>
      <w:r>
        <w:rPr>
          <w:b/>
          <w:bCs/>
        </w:rPr>
        <w:t>Findings</w:t>
      </w:r>
    </w:p>
    <w:p w:rsidR="00DD692C" w:rsidRDefault="00DD692C">
      <w:pPr>
        <w:tabs>
          <w:tab w:val="left" w:pos="0"/>
          <w:tab w:val="left" w:pos="1134"/>
        </w:tabs>
        <w:spacing w:line="480" w:lineRule="auto"/>
        <w:ind w:left="-567" w:right="-199"/>
        <w:jc w:val="both"/>
      </w:pPr>
      <w:r>
        <w:tab/>
        <w:t>Three questions are relevant in this section. First, do Australians in the age range of the target group (approximately 16-22) know these particular idioms? Secondly, if they know the idioms, where did they first encounter them? And thirdly, where would they, and older people who might address them, use these idioms? The answers to these questions give an indication of how useful it is for the target group to know these and other idioms, and thus, how important it is to include them in a MELD used in Australia.</w:t>
      </w:r>
    </w:p>
    <w:p w:rsidR="00DD692C" w:rsidRDefault="00DD692C">
      <w:pPr>
        <w:spacing w:line="480" w:lineRule="auto"/>
        <w:ind w:left="-567" w:right="-199"/>
        <w:jc w:val="both"/>
      </w:pPr>
      <w:r>
        <w:t xml:space="preserve"> </w:t>
      </w:r>
      <w:r>
        <w:tab/>
        <w:t xml:space="preserve">These particular idioms were not all familiar to the 81 native speakers in the Australian 16-22 age range. Over half knew </w:t>
      </w:r>
      <w:r>
        <w:rPr>
          <w:i/>
          <w:iCs/>
        </w:rPr>
        <w:t xml:space="preserve">full steam ahead </w:t>
      </w:r>
      <w:r>
        <w:t xml:space="preserve">(69%), roughly half had heard </w:t>
      </w:r>
      <w:r>
        <w:rPr>
          <w:i/>
          <w:iCs/>
        </w:rPr>
        <w:t>wolf in sheep’s clothing</w:t>
      </w:r>
      <w:r>
        <w:t xml:space="preserve"> (52%)</w:t>
      </w:r>
      <w:r>
        <w:rPr>
          <w:i/>
          <w:iCs/>
        </w:rPr>
        <w:t>¸</w:t>
      </w:r>
      <w:r>
        <w:t xml:space="preserve"> and under half had heard </w:t>
      </w:r>
      <w:r>
        <w:rPr>
          <w:i/>
          <w:iCs/>
        </w:rPr>
        <w:t xml:space="preserve">all that glitters is not gold </w:t>
      </w:r>
      <w:r>
        <w:t xml:space="preserve">(44%). Hardly any knew the Australian idiom </w:t>
      </w:r>
      <w:r>
        <w:rPr>
          <w:i/>
          <w:iCs/>
        </w:rPr>
        <w:t>back of Bourke</w:t>
      </w:r>
      <w:r>
        <w:t xml:space="preserve"> (2%) or the British idiom </w:t>
      </w:r>
      <w:r>
        <w:rPr>
          <w:i/>
          <w:iCs/>
        </w:rPr>
        <w:t xml:space="preserve">carry/take coals to Newcastle </w:t>
      </w:r>
      <w:r>
        <w:t xml:space="preserve">(4%).  These idioms are represented in all of the ‘Big 5’ to a greater </w:t>
      </w:r>
      <w:r w:rsidR="009B5953">
        <w:t xml:space="preserve">or lesser </w:t>
      </w:r>
      <w:proofErr w:type="gramStart"/>
      <w:r w:rsidR="009B5953">
        <w:t>extent  (</w:t>
      </w:r>
      <w:proofErr w:type="gramEnd"/>
      <w:r w:rsidR="009B5953">
        <w:t>see Table 1).</w:t>
      </w:r>
    </w:p>
    <w:p w:rsidR="00A9050F" w:rsidRDefault="00A9050F">
      <w:r>
        <w:br w:type="page"/>
      </w:r>
    </w:p>
    <w:p w:rsidR="00DD692C" w:rsidRDefault="00DD692C" w:rsidP="00A1502D">
      <w:pPr>
        <w:ind w:left="-567" w:right="-199"/>
      </w:pPr>
      <w:r>
        <w:lastRenderedPageBreak/>
        <w:t>Table 1: Details of recognition of the idioms by 81 re</w:t>
      </w:r>
      <w:r w:rsidR="009B5953">
        <w:t>s</w:t>
      </w:r>
      <w:r>
        <w:t>pondents in the Australian 16-22 age group, and the dictionaries in which these idioms appear</w:t>
      </w:r>
    </w:p>
    <w:p w:rsidR="00DD692C" w:rsidRDefault="00DD692C">
      <w:pPr>
        <w:ind w:left="-567" w:right="-199"/>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93"/>
        <w:gridCol w:w="992"/>
        <w:gridCol w:w="1418"/>
        <w:gridCol w:w="1134"/>
        <w:gridCol w:w="1218"/>
        <w:gridCol w:w="1050"/>
        <w:gridCol w:w="2585"/>
      </w:tblGrid>
      <w:tr w:rsidR="00DD692C" w:rsidRPr="00E50A2C" w:rsidTr="00A1502D">
        <w:tc>
          <w:tcPr>
            <w:tcW w:w="2093" w:type="dxa"/>
          </w:tcPr>
          <w:p w:rsidR="00DD692C" w:rsidRPr="00E50A2C" w:rsidRDefault="00DD692C" w:rsidP="00A1502D">
            <w:pPr>
              <w:ind w:left="-461" w:right="-199"/>
              <w:rPr>
                <w:rFonts w:eastAsiaTheme="minorEastAsia" w:cstheme="minorBidi"/>
              </w:rPr>
            </w:pPr>
          </w:p>
        </w:tc>
        <w:tc>
          <w:tcPr>
            <w:tcW w:w="992"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CALD3</w:t>
            </w:r>
          </w:p>
        </w:tc>
        <w:tc>
          <w:tcPr>
            <w:tcW w:w="1418"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COBUILD4</w:t>
            </w:r>
          </w:p>
        </w:tc>
        <w:tc>
          <w:tcPr>
            <w:tcW w:w="1134"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LDOCE5</w:t>
            </w:r>
          </w:p>
        </w:tc>
        <w:tc>
          <w:tcPr>
            <w:tcW w:w="1218"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MEDAL2</w:t>
            </w:r>
          </w:p>
        </w:tc>
        <w:tc>
          <w:tcPr>
            <w:tcW w:w="1050"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OALD7</w:t>
            </w:r>
          </w:p>
        </w:tc>
        <w:tc>
          <w:tcPr>
            <w:tcW w:w="2585" w:type="dxa"/>
          </w:tcPr>
          <w:p w:rsidR="00DD692C" w:rsidRPr="00E50A2C" w:rsidRDefault="00DD692C">
            <w:pPr>
              <w:ind w:right="-108"/>
              <w:rPr>
                <w:rFonts w:eastAsiaTheme="minorEastAsia" w:cstheme="minorBidi"/>
                <w:b/>
                <w:bCs/>
              </w:rPr>
            </w:pPr>
            <w:r w:rsidRPr="00E50A2C">
              <w:rPr>
                <w:rFonts w:eastAsiaTheme="minorEastAsia" w:cstheme="minorBidi"/>
                <w:b/>
                <w:bCs/>
              </w:rPr>
              <w:t>Percentage  of native Australian participants aged 16-22 who had heard the expression</w:t>
            </w:r>
          </w:p>
        </w:tc>
      </w:tr>
      <w:tr w:rsidR="00DD692C" w:rsidRPr="00E50A2C" w:rsidTr="00A1502D">
        <w:tc>
          <w:tcPr>
            <w:tcW w:w="2093" w:type="dxa"/>
          </w:tcPr>
          <w:p w:rsidR="00DD692C" w:rsidRPr="00E50A2C" w:rsidRDefault="00DD692C">
            <w:pPr>
              <w:ind w:right="-199"/>
              <w:rPr>
                <w:rFonts w:eastAsiaTheme="minorEastAsia" w:cstheme="minorBidi"/>
              </w:rPr>
            </w:pPr>
            <w:r w:rsidRPr="00E50A2C">
              <w:rPr>
                <w:rFonts w:eastAsiaTheme="minorEastAsia" w:cstheme="minorBidi"/>
                <w:b/>
                <w:bCs/>
                <w:i/>
                <w:iCs/>
              </w:rPr>
              <w:t>Wolf  in sheep’s clothing</w:t>
            </w:r>
            <w:r w:rsidRPr="00E50A2C">
              <w:rPr>
                <w:rFonts w:eastAsiaTheme="minorEastAsia" w:cstheme="minorBidi"/>
                <w:b/>
                <w:bCs/>
              </w:rPr>
              <w:t xml:space="preserve">  </w:t>
            </w:r>
          </w:p>
        </w:tc>
        <w:tc>
          <w:tcPr>
            <w:tcW w:w="992"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418"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134"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218"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050"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2585" w:type="dxa"/>
          </w:tcPr>
          <w:p w:rsidR="00DD692C" w:rsidRPr="00E50A2C" w:rsidRDefault="00DD692C">
            <w:pPr>
              <w:ind w:right="-199"/>
              <w:jc w:val="center"/>
              <w:rPr>
                <w:rFonts w:eastAsiaTheme="minorEastAsia" w:cstheme="minorBidi"/>
              </w:rPr>
            </w:pPr>
            <w:r w:rsidRPr="00E50A2C">
              <w:rPr>
                <w:rFonts w:eastAsiaTheme="minorEastAsia" w:cstheme="minorBidi"/>
              </w:rPr>
              <w:t>52%</w:t>
            </w:r>
          </w:p>
        </w:tc>
      </w:tr>
      <w:tr w:rsidR="00DD692C" w:rsidRPr="00E50A2C" w:rsidTr="00A1502D">
        <w:tc>
          <w:tcPr>
            <w:tcW w:w="2093" w:type="dxa"/>
          </w:tcPr>
          <w:p w:rsidR="00DD692C" w:rsidRPr="00E50A2C" w:rsidRDefault="00DD692C">
            <w:pPr>
              <w:ind w:right="-199"/>
              <w:rPr>
                <w:rFonts w:eastAsiaTheme="minorEastAsia" w:cstheme="minorBidi"/>
              </w:rPr>
            </w:pPr>
            <w:r w:rsidRPr="00E50A2C">
              <w:rPr>
                <w:rFonts w:eastAsiaTheme="minorEastAsia" w:cstheme="minorBidi"/>
                <w:b/>
                <w:bCs/>
                <w:i/>
                <w:iCs/>
              </w:rPr>
              <w:t>All that glitters is not gold</w:t>
            </w:r>
          </w:p>
        </w:tc>
        <w:tc>
          <w:tcPr>
            <w:tcW w:w="992"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418"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134"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218"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050"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2585" w:type="dxa"/>
          </w:tcPr>
          <w:p w:rsidR="00DD692C" w:rsidRPr="00E50A2C" w:rsidRDefault="00DD692C">
            <w:pPr>
              <w:ind w:right="-199"/>
              <w:jc w:val="center"/>
              <w:rPr>
                <w:rFonts w:eastAsiaTheme="minorEastAsia" w:cstheme="minorBidi"/>
              </w:rPr>
            </w:pPr>
            <w:r w:rsidRPr="00E50A2C">
              <w:rPr>
                <w:rFonts w:eastAsiaTheme="minorEastAsia" w:cstheme="minorBidi"/>
              </w:rPr>
              <w:t>44%</w:t>
            </w:r>
          </w:p>
        </w:tc>
      </w:tr>
      <w:tr w:rsidR="00DD692C" w:rsidRPr="00E50A2C" w:rsidTr="00A1502D">
        <w:tc>
          <w:tcPr>
            <w:tcW w:w="2093" w:type="dxa"/>
          </w:tcPr>
          <w:p w:rsidR="00DD692C" w:rsidRPr="00E50A2C" w:rsidRDefault="00DD692C">
            <w:pPr>
              <w:ind w:right="-199"/>
              <w:rPr>
                <w:rFonts w:eastAsiaTheme="minorEastAsia" w:cstheme="minorBidi"/>
              </w:rPr>
            </w:pPr>
            <w:r w:rsidRPr="00E50A2C">
              <w:rPr>
                <w:rFonts w:eastAsiaTheme="minorEastAsia" w:cstheme="minorBidi"/>
                <w:b/>
                <w:bCs/>
                <w:i/>
                <w:iCs/>
              </w:rPr>
              <w:t>Back of Bourke</w:t>
            </w:r>
          </w:p>
        </w:tc>
        <w:tc>
          <w:tcPr>
            <w:tcW w:w="992"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418"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134"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218"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050"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2585" w:type="dxa"/>
          </w:tcPr>
          <w:p w:rsidR="00DD692C" w:rsidRPr="00E50A2C" w:rsidRDefault="00DD692C">
            <w:pPr>
              <w:ind w:right="-199"/>
              <w:jc w:val="center"/>
              <w:rPr>
                <w:rFonts w:eastAsiaTheme="minorEastAsia" w:cstheme="minorBidi"/>
              </w:rPr>
            </w:pPr>
            <w:r w:rsidRPr="00E50A2C">
              <w:rPr>
                <w:rFonts w:eastAsiaTheme="minorEastAsia" w:cstheme="minorBidi"/>
              </w:rPr>
              <w:t>2%</w:t>
            </w:r>
          </w:p>
        </w:tc>
      </w:tr>
      <w:tr w:rsidR="00DD692C" w:rsidRPr="00E50A2C" w:rsidTr="00A1502D">
        <w:tc>
          <w:tcPr>
            <w:tcW w:w="2093" w:type="dxa"/>
          </w:tcPr>
          <w:p w:rsidR="00DD692C" w:rsidRPr="00E50A2C" w:rsidRDefault="00DD692C">
            <w:pPr>
              <w:ind w:right="-199"/>
              <w:rPr>
                <w:rFonts w:eastAsiaTheme="minorEastAsia" w:cstheme="minorBidi"/>
              </w:rPr>
            </w:pPr>
            <w:r w:rsidRPr="00E50A2C">
              <w:rPr>
                <w:rFonts w:eastAsiaTheme="minorEastAsia" w:cstheme="minorBidi"/>
                <w:b/>
                <w:bCs/>
                <w:i/>
                <w:iCs/>
              </w:rPr>
              <w:t>Carry/take coals to Newcastle</w:t>
            </w:r>
          </w:p>
        </w:tc>
        <w:tc>
          <w:tcPr>
            <w:tcW w:w="992"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418" w:type="dxa"/>
          </w:tcPr>
          <w:p w:rsidR="00DD692C" w:rsidRPr="00E50A2C" w:rsidRDefault="00DD692C">
            <w:pPr>
              <w:ind w:right="-199"/>
              <w:jc w:val="center"/>
              <w:rPr>
                <w:rFonts w:eastAsiaTheme="minorEastAsia" w:cstheme="minorBidi"/>
              </w:rPr>
            </w:pPr>
            <w:r w:rsidRPr="00E50A2C">
              <w:rPr>
                <w:rFonts w:eastAsiaTheme="minorEastAsia" w:cstheme="minorBidi"/>
              </w:rPr>
              <w:t>-</w:t>
            </w:r>
          </w:p>
        </w:tc>
        <w:tc>
          <w:tcPr>
            <w:tcW w:w="1134"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218"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050"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2585" w:type="dxa"/>
          </w:tcPr>
          <w:p w:rsidR="00DD692C" w:rsidRPr="00E50A2C" w:rsidRDefault="00DD692C">
            <w:pPr>
              <w:ind w:right="-199"/>
              <w:jc w:val="center"/>
              <w:rPr>
                <w:rFonts w:eastAsiaTheme="minorEastAsia" w:cstheme="minorBidi"/>
              </w:rPr>
            </w:pPr>
            <w:r w:rsidRPr="00E50A2C">
              <w:rPr>
                <w:rFonts w:eastAsiaTheme="minorEastAsia" w:cstheme="minorBidi"/>
              </w:rPr>
              <w:t>4%</w:t>
            </w:r>
          </w:p>
        </w:tc>
      </w:tr>
      <w:tr w:rsidR="00DD692C" w:rsidRPr="00E50A2C" w:rsidTr="00A1502D">
        <w:tc>
          <w:tcPr>
            <w:tcW w:w="2093" w:type="dxa"/>
          </w:tcPr>
          <w:p w:rsidR="00DD692C" w:rsidRPr="00E50A2C" w:rsidRDefault="00DD692C">
            <w:pPr>
              <w:ind w:right="-199"/>
              <w:rPr>
                <w:rFonts w:eastAsiaTheme="minorEastAsia" w:cstheme="minorBidi"/>
                <w:b/>
                <w:bCs/>
                <w:i/>
                <w:iCs/>
              </w:rPr>
            </w:pPr>
            <w:r w:rsidRPr="00E50A2C">
              <w:rPr>
                <w:rFonts w:eastAsiaTheme="minorEastAsia" w:cstheme="minorBidi"/>
                <w:b/>
                <w:bCs/>
                <w:i/>
                <w:iCs/>
              </w:rPr>
              <w:t>Full steam ahead</w:t>
            </w:r>
          </w:p>
        </w:tc>
        <w:tc>
          <w:tcPr>
            <w:tcW w:w="992"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418"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134"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218"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1050" w:type="dxa"/>
          </w:tcPr>
          <w:p w:rsidR="00DD692C" w:rsidRPr="00E50A2C" w:rsidRDefault="00DD692C">
            <w:pPr>
              <w:ind w:right="-199"/>
              <w:jc w:val="center"/>
              <w:rPr>
                <w:rFonts w:eastAsiaTheme="minorEastAsia" w:cstheme="minorBidi"/>
              </w:rPr>
            </w:pPr>
            <w:r w:rsidRPr="00E50A2C">
              <w:rPr>
                <w:rFonts w:eastAsiaTheme="minorEastAsia" w:cstheme="minorBidi"/>
              </w:rPr>
              <w:sym w:font="Wingdings" w:char="F0FC"/>
            </w:r>
          </w:p>
        </w:tc>
        <w:tc>
          <w:tcPr>
            <w:tcW w:w="2585" w:type="dxa"/>
          </w:tcPr>
          <w:p w:rsidR="00DD692C" w:rsidRPr="00E50A2C" w:rsidRDefault="00DD692C">
            <w:pPr>
              <w:ind w:right="-199"/>
              <w:jc w:val="center"/>
              <w:rPr>
                <w:rFonts w:eastAsiaTheme="minorEastAsia" w:cstheme="minorBidi"/>
              </w:rPr>
            </w:pPr>
            <w:r w:rsidRPr="00E50A2C">
              <w:rPr>
                <w:rFonts w:eastAsiaTheme="minorEastAsia" w:cstheme="minorBidi"/>
              </w:rPr>
              <w:t>69%</w:t>
            </w:r>
          </w:p>
        </w:tc>
      </w:tr>
    </w:tbl>
    <w:p w:rsidR="00DD692C" w:rsidRDefault="00DD692C">
      <w:pPr>
        <w:ind w:left="-567" w:right="-199"/>
      </w:pPr>
    </w:p>
    <w:p w:rsidR="00DD692C" w:rsidRDefault="00DD692C">
      <w:pPr>
        <w:tabs>
          <w:tab w:val="left" w:pos="0"/>
        </w:tabs>
        <w:spacing w:line="480" w:lineRule="auto"/>
        <w:ind w:left="-567" w:right="-198"/>
        <w:jc w:val="both"/>
      </w:pPr>
      <w:r>
        <w:rPr>
          <w:i/>
          <w:iCs/>
        </w:rPr>
        <w:tab/>
        <w:t>Full steam ahead</w:t>
      </w:r>
      <w:r w:rsidR="00FE4050">
        <w:t xml:space="preserve"> was obviously the most widely recognised</w:t>
      </w:r>
      <w:r>
        <w:t xml:space="preserve">, and this is reflected in its appearance in all the dictionaries. </w:t>
      </w:r>
      <w:r>
        <w:rPr>
          <w:i/>
          <w:iCs/>
        </w:rPr>
        <w:t>Wolf in sheep’s clothing</w:t>
      </w:r>
      <w:r>
        <w:rPr>
          <w:b/>
          <w:bCs/>
        </w:rPr>
        <w:t xml:space="preserve"> </w:t>
      </w:r>
      <w:r w:rsidR="00FE4050">
        <w:t>was the next most familiar</w:t>
      </w:r>
      <w:r>
        <w:t xml:space="preserve">, and appears in only three of the dictionaries. </w:t>
      </w:r>
      <w:r>
        <w:rPr>
          <w:i/>
          <w:iCs/>
        </w:rPr>
        <w:t>All that glitters is not gold</w:t>
      </w:r>
      <w:r>
        <w:t xml:space="preserve">, although familiar to almost half of the age group, appears in only two of the dictionaries. </w:t>
      </w:r>
      <w:r>
        <w:rPr>
          <w:i/>
          <w:iCs/>
        </w:rPr>
        <w:t>Carry/take coals to Newcastle</w:t>
      </w:r>
      <w:r>
        <w:t xml:space="preserve"> was known to only 4% of the </w:t>
      </w:r>
      <w:r w:rsidR="00FE4050">
        <w:t xml:space="preserve">participants in this age range. </w:t>
      </w:r>
      <w:r>
        <w:t>Information on older speakers which is part of the larger survey, however, reveals that it was known to 73% of those aged 23 and above, so it is likely to be heard from older speakers if not from peers</w:t>
      </w:r>
      <w:r w:rsidR="00FE4050">
        <w:t>, justifying its appearance in four of the dictionaries</w:t>
      </w:r>
      <w:r>
        <w:t xml:space="preserve">. </w:t>
      </w:r>
      <w:r>
        <w:rPr>
          <w:i/>
          <w:iCs/>
        </w:rPr>
        <w:t>Back of Bourke</w:t>
      </w:r>
      <w:r>
        <w:t xml:space="preserve"> was known by only 2% of participants, which justifies its inclusion in only two of the dictionaries. </w:t>
      </w:r>
      <w:r w:rsidR="00995C15">
        <w:t>I</w:t>
      </w:r>
      <w:r>
        <w:t>t might be argued that this is a classic case where an idiom could appear only in an online</w:t>
      </w:r>
      <w:r w:rsidR="00FE4050">
        <w:t xml:space="preserve"> or Australian</w:t>
      </w:r>
      <w:r>
        <w:t xml:space="preserve"> edition of a MELD.</w:t>
      </w:r>
    </w:p>
    <w:p w:rsidR="00DD692C" w:rsidRDefault="00DD692C">
      <w:pPr>
        <w:spacing w:line="480" w:lineRule="auto"/>
        <w:ind w:left="-567" w:right="-199" w:firstLine="567"/>
        <w:jc w:val="both"/>
      </w:pPr>
      <w:r>
        <w:t xml:space="preserve">The second question is where the idioms were first encountered. From the 17 sources the target age participants gave, the most common were conversation, </w:t>
      </w:r>
      <w:proofErr w:type="gramStart"/>
      <w:r>
        <w:t>literature,</w:t>
      </w:r>
      <w:proofErr w:type="gramEnd"/>
      <w:r>
        <w:t xml:space="preserve"> parents and television (see Table 2). (As it was hard for participants to remember where they had first heard an expression, some people gave no response, while others gave more than one source. The figures in Table 2 therefore do not add up to 100% for each idiom.)</w:t>
      </w:r>
    </w:p>
    <w:p w:rsidR="00A9050F" w:rsidRDefault="00A9050F">
      <w:r>
        <w:br w:type="page"/>
      </w:r>
    </w:p>
    <w:p w:rsidR="00DD692C" w:rsidRDefault="00DD692C" w:rsidP="00A1502D">
      <w:pPr>
        <w:ind w:left="-567" w:right="-199"/>
      </w:pPr>
      <w:r>
        <w:lastRenderedPageBreak/>
        <w:t>Table 2: The sources in which each idiom was first encountered by Australians in the 16-22 age range</w:t>
      </w:r>
    </w:p>
    <w:p w:rsidR="00DD692C" w:rsidRDefault="00DD692C">
      <w:pPr>
        <w:ind w:left="-567" w:right="-199"/>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1573"/>
        <w:gridCol w:w="1574"/>
        <w:gridCol w:w="1574"/>
        <w:gridCol w:w="1574"/>
        <w:gridCol w:w="1574"/>
      </w:tblGrid>
      <w:tr w:rsidR="00DD692C" w:rsidRPr="00E50A2C" w:rsidTr="00AA6654">
        <w:trPr>
          <w:trHeight w:val="340"/>
        </w:trPr>
        <w:tc>
          <w:tcPr>
            <w:tcW w:w="1701" w:type="dxa"/>
          </w:tcPr>
          <w:p w:rsidR="00DD692C" w:rsidRPr="00E50A2C" w:rsidRDefault="00DD692C">
            <w:pPr>
              <w:ind w:left="33" w:right="-199"/>
              <w:rPr>
                <w:rFonts w:eastAsiaTheme="minorEastAsia" w:cstheme="minorBidi"/>
              </w:rPr>
            </w:pPr>
          </w:p>
        </w:tc>
        <w:tc>
          <w:tcPr>
            <w:tcW w:w="1573" w:type="dxa"/>
          </w:tcPr>
          <w:p w:rsidR="00DD692C" w:rsidRPr="00E50A2C" w:rsidRDefault="00DD692C">
            <w:pPr>
              <w:ind w:right="-81"/>
              <w:rPr>
                <w:rFonts w:eastAsiaTheme="minorEastAsia" w:cstheme="minorBidi"/>
                <w:b/>
                <w:bCs/>
              </w:rPr>
            </w:pPr>
            <w:r w:rsidRPr="00E50A2C">
              <w:rPr>
                <w:rFonts w:eastAsiaTheme="minorEastAsia" w:cstheme="minorBidi"/>
                <w:b/>
                <w:bCs/>
                <w:i/>
                <w:iCs/>
              </w:rPr>
              <w:t>Wolf  in sheep’s clothing</w:t>
            </w:r>
            <w:r w:rsidRPr="00E50A2C">
              <w:rPr>
                <w:rFonts w:eastAsiaTheme="minorEastAsia" w:cstheme="minorBidi"/>
                <w:b/>
                <w:bCs/>
              </w:rPr>
              <w:t xml:space="preserve"> (no. who had heard before =  42)</w:t>
            </w:r>
          </w:p>
        </w:tc>
        <w:tc>
          <w:tcPr>
            <w:tcW w:w="1574" w:type="dxa"/>
          </w:tcPr>
          <w:p w:rsidR="00DD692C" w:rsidRPr="00E50A2C" w:rsidRDefault="00DD692C">
            <w:pPr>
              <w:ind w:left="6" w:right="-53"/>
              <w:rPr>
                <w:rFonts w:eastAsiaTheme="minorEastAsia" w:cstheme="minorBidi"/>
                <w:b/>
                <w:bCs/>
              </w:rPr>
            </w:pPr>
            <w:r w:rsidRPr="00E50A2C">
              <w:rPr>
                <w:rFonts w:eastAsiaTheme="minorEastAsia" w:cstheme="minorBidi"/>
                <w:b/>
                <w:bCs/>
                <w:i/>
                <w:iCs/>
              </w:rPr>
              <w:t>All that glitters is not gold</w:t>
            </w:r>
            <w:r w:rsidRPr="00E50A2C">
              <w:rPr>
                <w:rFonts w:eastAsiaTheme="minorEastAsia" w:cstheme="minorBidi"/>
                <w:b/>
                <w:bCs/>
              </w:rPr>
              <w:t xml:space="preserve"> (no. who had heard before = 36)</w:t>
            </w:r>
          </w:p>
        </w:tc>
        <w:tc>
          <w:tcPr>
            <w:tcW w:w="1574" w:type="dxa"/>
          </w:tcPr>
          <w:p w:rsidR="00DD692C" w:rsidRPr="00E50A2C" w:rsidRDefault="00DD692C">
            <w:pPr>
              <w:ind w:left="-21" w:right="-25"/>
              <w:rPr>
                <w:rFonts w:eastAsiaTheme="minorEastAsia" w:cstheme="minorBidi"/>
                <w:b/>
                <w:bCs/>
              </w:rPr>
            </w:pPr>
            <w:r w:rsidRPr="00E50A2C">
              <w:rPr>
                <w:rFonts w:eastAsiaTheme="minorEastAsia" w:cstheme="minorBidi"/>
                <w:b/>
                <w:bCs/>
                <w:i/>
                <w:iCs/>
              </w:rPr>
              <w:t>Back of Bourke</w:t>
            </w:r>
            <w:r w:rsidRPr="00E50A2C">
              <w:rPr>
                <w:rFonts w:eastAsiaTheme="minorEastAsia" w:cstheme="minorBidi"/>
                <w:b/>
                <w:bCs/>
              </w:rPr>
              <w:t xml:space="preserve"> (no. who had heard before = 2)</w:t>
            </w:r>
          </w:p>
        </w:tc>
        <w:tc>
          <w:tcPr>
            <w:tcW w:w="1574" w:type="dxa"/>
          </w:tcPr>
          <w:p w:rsidR="00DD692C" w:rsidRPr="00E50A2C" w:rsidRDefault="00DD692C">
            <w:pPr>
              <w:ind w:left="-49"/>
              <w:rPr>
                <w:rFonts w:eastAsiaTheme="minorEastAsia" w:cstheme="minorBidi"/>
                <w:b/>
                <w:bCs/>
              </w:rPr>
            </w:pPr>
            <w:r w:rsidRPr="00E50A2C">
              <w:rPr>
                <w:rFonts w:eastAsiaTheme="minorEastAsia" w:cstheme="minorBidi"/>
                <w:b/>
                <w:bCs/>
                <w:i/>
                <w:iCs/>
              </w:rPr>
              <w:t>Carry/take coals to Newcastle</w:t>
            </w:r>
            <w:r w:rsidRPr="00E50A2C">
              <w:rPr>
                <w:rFonts w:eastAsiaTheme="minorEastAsia" w:cstheme="minorBidi"/>
                <w:b/>
                <w:bCs/>
              </w:rPr>
              <w:t xml:space="preserve"> (no. who had heard before = 3)</w:t>
            </w:r>
          </w:p>
        </w:tc>
        <w:tc>
          <w:tcPr>
            <w:tcW w:w="1574" w:type="dxa"/>
          </w:tcPr>
          <w:p w:rsidR="00DD692C" w:rsidRPr="00E50A2C" w:rsidRDefault="00DD692C">
            <w:pPr>
              <w:ind w:left="-77"/>
              <w:rPr>
                <w:rFonts w:eastAsiaTheme="minorEastAsia" w:cstheme="minorBidi"/>
                <w:b/>
                <w:bCs/>
              </w:rPr>
            </w:pPr>
            <w:r w:rsidRPr="00E50A2C">
              <w:rPr>
                <w:rFonts w:eastAsiaTheme="minorEastAsia" w:cstheme="minorBidi"/>
                <w:b/>
                <w:bCs/>
                <w:i/>
                <w:iCs/>
              </w:rPr>
              <w:t>Full steam ahead</w:t>
            </w:r>
            <w:r w:rsidRPr="00E50A2C">
              <w:rPr>
                <w:rFonts w:eastAsiaTheme="minorEastAsia" w:cstheme="minorBidi"/>
                <w:b/>
                <w:bCs/>
              </w:rPr>
              <w:t xml:space="preserve"> (no. who had heard before = 56)</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Bible/church</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Childhood</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12 %</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Conversation</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33%</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3%</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Friends</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14%</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5%</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5%</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General use</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26%</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3%</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Internet</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3%</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Literature</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26%</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22%</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33%</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9%</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 xml:space="preserve">Media (other – </w:t>
            </w:r>
            <w:proofErr w:type="spellStart"/>
            <w:r w:rsidRPr="00E50A2C">
              <w:rPr>
                <w:rFonts w:eastAsiaTheme="minorEastAsia" w:cstheme="minorBidi"/>
                <w:b/>
                <w:bCs/>
              </w:rPr>
              <w:t>eg</w:t>
            </w:r>
            <w:proofErr w:type="spellEnd"/>
            <w:r w:rsidRPr="00E50A2C">
              <w:rPr>
                <w:rFonts w:eastAsiaTheme="minorEastAsia" w:cstheme="minorBidi"/>
                <w:b/>
                <w:bCs/>
              </w:rPr>
              <w:t xml:space="preserve"> film, radio)</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14%</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5%</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9%</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Older people</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5%</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3%</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Parents</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21%</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22%</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50%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14%</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Relatives (other)</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14%</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17%</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7%</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School</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17%</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5%</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7%</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Shakespeare</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11%</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Song/music</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11%</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0</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Television</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14%</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17%</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50%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12%</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Travelling</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50%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2%</w:t>
            </w:r>
          </w:p>
        </w:tc>
      </w:tr>
      <w:tr w:rsidR="00DD692C" w:rsidRPr="00E50A2C" w:rsidTr="00AA6654">
        <w:trPr>
          <w:trHeight w:val="340"/>
        </w:trPr>
        <w:tc>
          <w:tcPr>
            <w:tcW w:w="1701" w:type="dxa"/>
          </w:tcPr>
          <w:p w:rsidR="00DD692C" w:rsidRPr="00E50A2C" w:rsidRDefault="00DD692C">
            <w:pPr>
              <w:ind w:right="-199"/>
              <w:rPr>
                <w:rFonts w:eastAsiaTheme="minorEastAsia" w:cstheme="minorBidi"/>
                <w:b/>
                <w:bCs/>
              </w:rPr>
            </w:pPr>
            <w:r w:rsidRPr="00E50A2C">
              <w:rPr>
                <w:rFonts w:eastAsiaTheme="minorEastAsia" w:cstheme="minorBidi"/>
                <w:b/>
                <w:bCs/>
              </w:rPr>
              <w:t>Work</w:t>
            </w:r>
          </w:p>
        </w:tc>
        <w:tc>
          <w:tcPr>
            <w:tcW w:w="1573" w:type="dxa"/>
          </w:tcPr>
          <w:p w:rsidR="00DD692C" w:rsidRPr="00E50A2C" w:rsidRDefault="00DD692C">
            <w:pPr>
              <w:ind w:left="-108"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6"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21"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left="-49" w:right="-199"/>
              <w:jc w:val="center"/>
              <w:rPr>
                <w:rFonts w:eastAsiaTheme="minorEastAsia" w:cstheme="minorBidi"/>
              </w:rPr>
            </w:pPr>
            <w:r w:rsidRPr="00E50A2C">
              <w:rPr>
                <w:rFonts w:eastAsiaTheme="minorEastAsia" w:cstheme="minorBidi"/>
              </w:rPr>
              <w:t>0</w:t>
            </w:r>
          </w:p>
        </w:tc>
        <w:tc>
          <w:tcPr>
            <w:tcW w:w="1574" w:type="dxa"/>
          </w:tcPr>
          <w:p w:rsidR="00DD692C" w:rsidRPr="00E50A2C" w:rsidRDefault="00DD692C">
            <w:pPr>
              <w:ind w:right="-199"/>
              <w:jc w:val="center"/>
              <w:rPr>
                <w:rFonts w:eastAsiaTheme="minorEastAsia" w:cstheme="minorBidi"/>
              </w:rPr>
            </w:pPr>
            <w:r w:rsidRPr="00E50A2C">
              <w:rPr>
                <w:rFonts w:eastAsiaTheme="minorEastAsia" w:cstheme="minorBidi"/>
              </w:rPr>
              <w:t>2%</w:t>
            </w:r>
          </w:p>
        </w:tc>
      </w:tr>
    </w:tbl>
    <w:p w:rsidR="00DD692C" w:rsidRDefault="00DD692C">
      <w:pPr>
        <w:ind w:left="-567" w:right="-199"/>
      </w:pPr>
    </w:p>
    <w:p w:rsidR="00DD692C" w:rsidRDefault="00DD692C" w:rsidP="00A1502D">
      <w:pPr>
        <w:spacing w:line="480" w:lineRule="auto"/>
        <w:ind w:left="-567" w:right="-199" w:firstLine="567"/>
        <w:jc w:val="both"/>
      </w:pPr>
      <w:r>
        <w:rPr>
          <w:i/>
          <w:iCs/>
        </w:rPr>
        <w:t xml:space="preserve">All that </w:t>
      </w:r>
      <w:proofErr w:type="gramStart"/>
      <w:r>
        <w:rPr>
          <w:i/>
          <w:iCs/>
        </w:rPr>
        <w:t>glitters is</w:t>
      </w:r>
      <w:proofErr w:type="gramEnd"/>
      <w:r>
        <w:rPr>
          <w:i/>
          <w:iCs/>
        </w:rPr>
        <w:t xml:space="preserve"> not gold</w:t>
      </w:r>
      <w:r>
        <w:t xml:space="preserve"> was encountered by at least one participant, and possibly all four who gave song/music as their source, in Led Zeppelin’s song </w:t>
      </w:r>
      <w:r>
        <w:rPr>
          <w:i/>
          <w:iCs/>
        </w:rPr>
        <w:t>Stairway to heaven</w:t>
      </w:r>
      <w:r>
        <w:t xml:space="preserve">. Another gave </w:t>
      </w:r>
      <w:r>
        <w:rPr>
          <w:i/>
          <w:iCs/>
        </w:rPr>
        <w:t>Lord of the Rings</w:t>
      </w:r>
      <w:r>
        <w:t xml:space="preserve"> as her source, though she did not specify if this was the book or the film. </w:t>
      </w:r>
      <w:r>
        <w:rPr>
          <w:i/>
          <w:iCs/>
        </w:rPr>
        <w:t>Wolf in sheep’s clothing</w:t>
      </w:r>
      <w:r>
        <w:t xml:space="preserve"> was heard in ‘the song by the same name’. </w:t>
      </w:r>
      <w:r>
        <w:rPr>
          <w:i/>
          <w:iCs/>
        </w:rPr>
        <w:t>Full steam ahead</w:t>
      </w:r>
      <w:r>
        <w:t xml:space="preserve"> was heard in </w:t>
      </w:r>
      <w:r>
        <w:rPr>
          <w:i/>
          <w:iCs/>
        </w:rPr>
        <w:t>Thomas the tank engine</w:t>
      </w:r>
      <w:r>
        <w:t xml:space="preserve">. Again it was not clear if this was the book or the television series. These findings indicate that idioms are likely to be seen or heard in popular culture.  This is important, as although it might be assumed that idioms are first heard in the home, this was not always the case. Learners of English in Australia are therefore likely to encounter idioms in many situations, especially in their general reading, conversation with native speakers, and on television. </w:t>
      </w:r>
    </w:p>
    <w:p w:rsidR="00DD692C" w:rsidRDefault="00195266">
      <w:pPr>
        <w:spacing w:line="480" w:lineRule="auto"/>
        <w:ind w:left="-567" w:right="-199" w:firstLine="567"/>
        <w:jc w:val="both"/>
      </w:pPr>
      <w:r>
        <w:lastRenderedPageBreak/>
        <w:t xml:space="preserve">The third question is whether the target group </w:t>
      </w:r>
      <w:r w:rsidR="00DD692C">
        <w:t>will hear these idioms</w:t>
      </w:r>
      <w:r>
        <w:t xml:space="preserve"> in Australia</w:t>
      </w:r>
      <w:r w:rsidR="00DD692C">
        <w:t>. Table 3 indicates the places in which</w:t>
      </w:r>
      <w:r>
        <w:t xml:space="preserve"> native English</w:t>
      </w:r>
      <w:r w:rsidR="00DD692C">
        <w:t xml:space="preserve"> speakers of three different age groups would use them. </w:t>
      </w:r>
    </w:p>
    <w:p w:rsidR="00DD692C" w:rsidRDefault="00DD692C" w:rsidP="007F7176">
      <w:pPr>
        <w:ind w:left="-567" w:right="-199"/>
      </w:pPr>
      <w:r>
        <w:t xml:space="preserve">Table 3: Situations in which Australian participants would use each idiom, by age range, ranked in order of use </w:t>
      </w:r>
    </w:p>
    <w:p w:rsidR="00A9050F" w:rsidRDefault="00A9050F" w:rsidP="007F7176">
      <w:pPr>
        <w:ind w:left="-567" w:right="-199"/>
      </w:pPr>
    </w:p>
    <w:tbl>
      <w:tblPr>
        <w:tblW w:w="94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gridCol w:w="1937"/>
        <w:gridCol w:w="1937"/>
        <w:gridCol w:w="1937"/>
      </w:tblGrid>
      <w:tr w:rsidR="00DD692C" w:rsidRPr="00E50A2C">
        <w:trPr>
          <w:trHeight w:val="283"/>
        </w:trPr>
        <w:tc>
          <w:tcPr>
            <w:tcW w:w="3652" w:type="dxa"/>
          </w:tcPr>
          <w:p w:rsidR="00DD692C" w:rsidRPr="00E50A2C" w:rsidRDefault="00DD692C">
            <w:pPr>
              <w:spacing w:line="480" w:lineRule="auto"/>
              <w:ind w:right="-199"/>
              <w:jc w:val="both"/>
              <w:rPr>
                <w:rFonts w:eastAsiaTheme="minorEastAsia" w:cstheme="minorBidi"/>
              </w:rPr>
            </w:pPr>
          </w:p>
        </w:tc>
        <w:tc>
          <w:tcPr>
            <w:tcW w:w="1937" w:type="dxa"/>
          </w:tcPr>
          <w:p w:rsidR="00DD692C" w:rsidRPr="00E50A2C" w:rsidRDefault="00DD692C">
            <w:pPr>
              <w:ind w:left="-108" w:right="-199"/>
              <w:jc w:val="center"/>
              <w:rPr>
                <w:rFonts w:eastAsiaTheme="minorEastAsia" w:cstheme="minorBidi"/>
                <w:b/>
                <w:bCs/>
              </w:rPr>
            </w:pPr>
            <w:r w:rsidRPr="00E50A2C">
              <w:rPr>
                <w:rFonts w:eastAsiaTheme="minorEastAsia" w:cstheme="minorBidi"/>
                <w:b/>
                <w:bCs/>
              </w:rPr>
              <w:t>Age 16 – 22</w:t>
            </w:r>
          </w:p>
          <w:p w:rsidR="00DD692C" w:rsidRPr="00E50A2C" w:rsidRDefault="00DD692C">
            <w:pPr>
              <w:ind w:left="-108" w:right="-199"/>
              <w:jc w:val="center"/>
              <w:rPr>
                <w:rFonts w:eastAsiaTheme="minorEastAsia" w:cstheme="minorBidi"/>
                <w:b/>
                <w:bCs/>
              </w:rPr>
            </w:pPr>
            <w:r w:rsidRPr="00E50A2C">
              <w:rPr>
                <w:rFonts w:eastAsiaTheme="minorEastAsia" w:cstheme="minorBidi"/>
                <w:b/>
                <w:bCs/>
              </w:rPr>
              <w:t>(</w:t>
            </w:r>
            <w:proofErr w:type="gramStart"/>
            <w:r w:rsidRPr="00E50A2C">
              <w:rPr>
                <w:rFonts w:eastAsiaTheme="minorEastAsia" w:cstheme="minorBidi"/>
                <w:b/>
                <w:bCs/>
              </w:rPr>
              <w:t>no</w:t>
            </w:r>
            <w:proofErr w:type="gramEnd"/>
            <w:r w:rsidRPr="00E50A2C">
              <w:rPr>
                <w:rFonts w:eastAsiaTheme="minorEastAsia" w:cstheme="minorBidi"/>
                <w:b/>
                <w:bCs/>
              </w:rPr>
              <w:t>. =  81)</w:t>
            </w:r>
          </w:p>
        </w:tc>
        <w:tc>
          <w:tcPr>
            <w:tcW w:w="1937" w:type="dxa"/>
          </w:tcPr>
          <w:p w:rsidR="00DD692C" w:rsidRPr="00E50A2C" w:rsidRDefault="00DD692C">
            <w:pPr>
              <w:ind w:left="-108" w:right="-199"/>
              <w:jc w:val="center"/>
              <w:rPr>
                <w:rFonts w:eastAsiaTheme="minorEastAsia" w:cstheme="minorBidi"/>
                <w:b/>
                <w:bCs/>
              </w:rPr>
            </w:pPr>
            <w:r w:rsidRPr="00E50A2C">
              <w:rPr>
                <w:rFonts w:eastAsiaTheme="minorEastAsia" w:cstheme="minorBidi"/>
                <w:b/>
                <w:bCs/>
              </w:rPr>
              <w:t>Age 23 – 40</w:t>
            </w:r>
          </w:p>
          <w:p w:rsidR="00DD692C" w:rsidRPr="00E50A2C" w:rsidRDefault="00DD692C">
            <w:pPr>
              <w:ind w:left="-108" w:right="-199"/>
              <w:jc w:val="center"/>
              <w:rPr>
                <w:rFonts w:eastAsiaTheme="minorEastAsia" w:cstheme="minorBidi"/>
                <w:b/>
                <w:bCs/>
              </w:rPr>
            </w:pPr>
            <w:r w:rsidRPr="00E50A2C">
              <w:rPr>
                <w:rFonts w:eastAsiaTheme="minorEastAsia" w:cstheme="minorBidi"/>
                <w:b/>
                <w:bCs/>
              </w:rPr>
              <w:t>(</w:t>
            </w:r>
            <w:proofErr w:type="gramStart"/>
            <w:r w:rsidRPr="00E50A2C">
              <w:rPr>
                <w:rFonts w:eastAsiaTheme="minorEastAsia" w:cstheme="minorBidi"/>
                <w:b/>
                <w:bCs/>
              </w:rPr>
              <w:t>no</w:t>
            </w:r>
            <w:proofErr w:type="gramEnd"/>
            <w:r w:rsidRPr="00E50A2C">
              <w:rPr>
                <w:rFonts w:eastAsiaTheme="minorEastAsia" w:cstheme="minorBidi"/>
                <w:b/>
                <w:bCs/>
              </w:rPr>
              <w:t>. = 36)</w:t>
            </w:r>
          </w:p>
        </w:tc>
        <w:tc>
          <w:tcPr>
            <w:tcW w:w="1937" w:type="dxa"/>
          </w:tcPr>
          <w:p w:rsidR="00DD692C" w:rsidRPr="00E50A2C" w:rsidRDefault="00DD692C">
            <w:pPr>
              <w:ind w:left="-108" w:right="-199"/>
              <w:jc w:val="center"/>
              <w:rPr>
                <w:rFonts w:eastAsiaTheme="minorEastAsia" w:cstheme="minorBidi"/>
                <w:b/>
                <w:bCs/>
              </w:rPr>
            </w:pPr>
            <w:r w:rsidRPr="00E50A2C">
              <w:rPr>
                <w:rFonts w:eastAsiaTheme="minorEastAsia" w:cstheme="minorBidi"/>
                <w:b/>
                <w:bCs/>
              </w:rPr>
              <w:t>Age  41 +</w:t>
            </w:r>
          </w:p>
          <w:p w:rsidR="00DD692C" w:rsidRPr="00E50A2C" w:rsidRDefault="00DD692C">
            <w:pPr>
              <w:ind w:left="-108" w:right="-199"/>
              <w:jc w:val="center"/>
              <w:rPr>
                <w:rFonts w:eastAsiaTheme="minorEastAsia" w:cstheme="minorBidi"/>
                <w:b/>
                <w:bCs/>
              </w:rPr>
            </w:pPr>
            <w:r w:rsidRPr="00E50A2C">
              <w:rPr>
                <w:rFonts w:eastAsiaTheme="minorEastAsia" w:cstheme="minorBidi"/>
                <w:b/>
                <w:bCs/>
              </w:rPr>
              <w:t>(</w:t>
            </w:r>
            <w:proofErr w:type="gramStart"/>
            <w:r w:rsidRPr="00E50A2C">
              <w:rPr>
                <w:rFonts w:eastAsiaTheme="minorEastAsia" w:cstheme="minorBidi"/>
                <w:b/>
                <w:bCs/>
              </w:rPr>
              <w:t>no</w:t>
            </w:r>
            <w:proofErr w:type="gramEnd"/>
            <w:r w:rsidRPr="00E50A2C">
              <w:rPr>
                <w:rFonts w:eastAsiaTheme="minorEastAsia" w:cstheme="minorBidi"/>
                <w:b/>
                <w:bCs/>
              </w:rPr>
              <w:t>. = 133)</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older people</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1st</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3</w:t>
            </w:r>
            <w:r w:rsidRPr="00E50A2C">
              <w:rPr>
                <w:rFonts w:eastAsiaTheme="minorEastAsia" w:cstheme="minorBidi"/>
                <w:vertAlign w:val="superscript"/>
              </w:rPr>
              <w:t>rd</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r w:rsidRPr="00E50A2C">
              <w:rPr>
                <w:rFonts w:eastAsiaTheme="minorEastAsia" w:cstheme="minorBidi"/>
                <w:vertAlign w:val="superscript"/>
              </w:rPr>
              <w:t>nd</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parents</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r w:rsidRPr="00E50A2C">
              <w:rPr>
                <w:rFonts w:eastAsiaTheme="minorEastAsia" w:cstheme="minorBidi"/>
                <w:vertAlign w:val="superscript"/>
              </w:rPr>
              <w:t>nd</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r w:rsidRPr="00E50A2C">
              <w:rPr>
                <w:rFonts w:eastAsiaTheme="minorEastAsia" w:cstheme="minorBidi"/>
                <w:vertAlign w:val="superscript"/>
              </w:rPr>
              <w:t>nd</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5</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friends one’s own age</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2</w:t>
            </w:r>
            <w:r w:rsidRPr="00E50A2C">
              <w:rPr>
                <w:rFonts w:eastAsiaTheme="minorEastAsia" w:cstheme="minorBidi"/>
                <w:vertAlign w:val="superscript"/>
              </w:rPr>
              <w:t>nd</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w:t>
            </w:r>
            <w:r w:rsidRPr="00E50A2C">
              <w:rPr>
                <w:rFonts w:eastAsiaTheme="minorEastAsia" w:cstheme="minorBidi"/>
                <w:vertAlign w:val="superscript"/>
              </w:rPr>
              <w:t>st</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w:t>
            </w:r>
            <w:r w:rsidRPr="00E50A2C">
              <w:rPr>
                <w:rFonts w:eastAsiaTheme="minorEastAsia" w:cstheme="minorBidi"/>
                <w:vertAlign w:val="superscript"/>
              </w:rPr>
              <w:t>st</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siblings</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4</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4</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3</w:t>
            </w:r>
            <w:r w:rsidRPr="00E50A2C">
              <w:rPr>
                <w:rFonts w:eastAsiaTheme="minorEastAsia" w:cstheme="minorBidi"/>
                <w:vertAlign w:val="superscript"/>
              </w:rPr>
              <w:t>rd</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Writing a text message</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5</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12</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9</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colleagues at work</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6</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4</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5</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one’s boss</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6</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7</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8</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children</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8</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7</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7</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Writing an essay</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9</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11</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12</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to younger people</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10</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6</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4</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Talking in formal situations</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11</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9</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left="-108" w:right="-199"/>
              <w:jc w:val="center"/>
              <w:rPr>
                <w:rFonts w:eastAsiaTheme="minorEastAsia" w:cstheme="minorBidi"/>
              </w:rPr>
            </w:pPr>
            <w:r w:rsidRPr="00E50A2C">
              <w:rPr>
                <w:rFonts w:eastAsiaTheme="minorEastAsia" w:cstheme="minorBidi"/>
              </w:rPr>
              <w:t>10</w:t>
            </w:r>
            <w:r w:rsidRPr="00E50A2C">
              <w:rPr>
                <w:rFonts w:eastAsiaTheme="minorEastAsia" w:cstheme="minorBidi"/>
                <w:vertAlign w:val="superscript"/>
              </w:rPr>
              <w:t>th</w:t>
            </w:r>
            <w:r w:rsidRPr="00E50A2C">
              <w:rPr>
                <w:rFonts w:eastAsiaTheme="minorEastAsia" w:cstheme="minorBidi"/>
              </w:rPr>
              <w:t xml:space="preserve"> </w:t>
            </w:r>
          </w:p>
        </w:tc>
      </w:tr>
      <w:tr w:rsidR="00DD692C" w:rsidRPr="00E50A2C">
        <w:trPr>
          <w:trHeight w:val="283"/>
        </w:trPr>
        <w:tc>
          <w:tcPr>
            <w:tcW w:w="3652" w:type="dxa"/>
          </w:tcPr>
          <w:p w:rsidR="00DD692C" w:rsidRPr="00E50A2C" w:rsidRDefault="00DD692C">
            <w:pPr>
              <w:ind w:right="-199"/>
              <w:rPr>
                <w:rFonts w:eastAsiaTheme="minorEastAsia" w:cstheme="minorBidi"/>
                <w:b/>
                <w:bCs/>
              </w:rPr>
            </w:pPr>
            <w:r w:rsidRPr="00E50A2C">
              <w:rPr>
                <w:rFonts w:eastAsiaTheme="minorEastAsia" w:cstheme="minorBidi"/>
                <w:b/>
                <w:bCs/>
              </w:rPr>
              <w:t>Chatting on the Internet</w:t>
            </w:r>
          </w:p>
        </w:tc>
        <w:tc>
          <w:tcPr>
            <w:tcW w:w="1937" w:type="dxa"/>
          </w:tcPr>
          <w:p w:rsidR="00DD692C" w:rsidRPr="00E50A2C" w:rsidRDefault="00DD692C">
            <w:pPr>
              <w:ind w:right="-199"/>
              <w:jc w:val="center"/>
              <w:rPr>
                <w:rFonts w:eastAsiaTheme="minorEastAsia" w:cstheme="minorBidi"/>
              </w:rPr>
            </w:pPr>
            <w:r w:rsidRPr="00E50A2C">
              <w:rPr>
                <w:rFonts w:eastAsiaTheme="minorEastAsia" w:cstheme="minorBidi"/>
              </w:rPr>
              <w:t>12</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right="-199"/>
              <w:jc w:val="center"/>
              <w:rPr>
                <w:rFonts w:eastAsiaTheme="minorEastAsia" w:cstheme="minorBidi"/>
              </w:rPr>
            </w:pPr>
            <w:r w:rsidRPr="00E50A2C">
              <w:rPr>
                <w:rFonts w:eastAsiaTheme="minorEastAsia" w:cstheme="minorBidi"/>
              </w:rPr>
              <w:t>10</w:t>
            </w:r>
            <w:r w:rsidRPr="00E50A2C">
              <w:rPr>
                <w:rFonts w:eastAsiaTheme="minorEastAsia" w:cstheme="minorBidi"/>
                <w:vertAlign w:val="superscript"/>
              </w:rPr>
              <w:t>th</w:t>
            </w:r>
            <w:r w:rsidRPr="00E50A2C">
              <w:rPr>
                <w:rFonts w:eastAsiaTheme="minorEastAsia" w:cstheme="minorBidi"/>
              </w:rPr>
              <w:t xml:space="preserve"> </w:t>
            </w:r>
          </w:p>
        </w:tc>
        <w:tc>
          <w:tcPr>
            <w:tcW w:w="1937" w:type="dxa"/>
          </w:tcPr>
          <w:p w:rsidR="00DD692C" w:rsidRPr="00E50A2C" w:rsidRDefault="00DD692C">
            <w:pPr>
              <w:ind w:right="-199"/>
              <w:jc w:val="center"/>
              <w:rPr>
                <w:rFonts w:eastAsiaTheme="minorEastAsia" w:cstheme="minorBidi"/>
              </w:rPr>
            </w:pPr>
            <w:r w:rsidRPr="00E50A2C">
              <w:rPr>
                <w:rFonts w:eastAsiaTheme="minorEastAsia" w:cstheme="minorBidi"/>
              </w:rPr>
              <w:t>11</w:t>
            </w:r>
            <w:r w:rsidRPr="00E50A2C">
              <w:rPr>
                <w:rFonts w:eastAsiaTheme="minorEastAsia" w:cstheme="minorBidi"/>
                <w:vertAlign w:val="superscript"/>
              </w:rPr>
              <w:t>th</w:t>
            </w:r>
            <w:r w:rsidRPr="00E50A2C">
              <w:rPr>
                <w:rFonts w:eastAsiaTheme="minorEastAsia" w:cstheme="minorBidi"/>
              </w:rPr>
              <w:t xml:space="preserve"> </w:t>
            </w:r>
          </w:p>
        </w:tc>
      </w:tr>
    </w:tbl>
    <w:p w:rsidR="00DD692C" w:rsidRDefault="00DD692C" w:rsidP="007F7176">
      <w:pPr>
        <w:spacing w:line="480" w:lineRule="auto"/>
        <w:ind w:right="-199"/>
        <w:jc w:val="both"/>
      </w:pPr>
    </w:p>
    <w:p w:rsidR="00DD692C" w:rsidRDefault="00DD692C" w:rsidP="00186F48">
      <w:pPr>
        <w:spacing w:line="480" w:lineRule="auto"/>
        <w:ind w:left="-567" w:right="-199"/>
        <w:jc w:val="both"/>
      </w:pPr>
      <w:r>
        <w:t>Although the younger group gave</w:t>
      </w:r>
      <w:r w:rsidR="00186F48">
        <w:t xml:space="preserve"> ‘older people’ and ‘parents’ in</w:t>
      </w:r>
      <w:r>
        <w:t xml:space="preserve"> their top two places, they</w:t>
      </w:r>
      <w:r w:rsidR="00186F48">
        <w:t xml:space="preserve"> also</w:t>
      </w:r>
      <w:r>
        <w:t xml:space="preserve"> gave ‘talking to friends one’s own age’ in equal second place and ‘writing a text message’ in fifth place. The older groups gave ‘talking to colleagues at work’ in fourth/fifth place and ‘talking to younger people’ in sixth/fourth place. This indicates that many of the target group would encounter these idioms through interaction with friends, work colleagues or lecturers, of many different ages.</w:t>
      </w:r>
    </w:p>
    <w:p w:rsidR="00DD692C" w:rsidRDefault="00DD692C">
      <w:pPr>
        <w:spacing w:line="480" w:lineRule="auto"/>
        <w:ind w:left="-567" w:right="-199"/>
        <w:jc w:val="both"/>
        <w:rPr>
          <w:b/>
          <w:bCs/>
        </w:rPr>
      </w:pPr>
      <w:r>
        <w:rPr>
          <w:b/>
          <w:bCs/>
        </w:rPr>
        <w:t>Limitations</w:t>
      </w:r>
    </w:p>
    <w:p w:rsidR="00DE5EAD" w:rsidRPr="00A1502D" w:rsidRDefault="00186F48" w:rsidP="00A1502D">
      <w:pPr>
        <w:spacing w:line="480" w:lineRule="auto"/>
        <w:ind w:left="-567" w:right="-199" w:firstLine="567"/>
        <w:jc w:val="both"/>
      </w:pPr>
      <w:r>
        <w:t>A limitation of the study was</w:t>
      </w:r>
      <w:r w:rsidR="00DD692C">
        <w:t xml:space="preserve"> the</w:t>
      </w:r>
      <w:r>
        <w:t xml:space="preserve"> non-random nature of the</w:t>
      </w:r>
      <w:r w:rsidR="00DD692C">
        <w:t xml:space="preserve"> sample, as school students were required to participate by their teachers, and adults were likely to be already interested in language. Given the difficulty of gaining participants, however, this limitation was unavoidable, and while the results are therefore not </w:t>
      </w:r>
      <w:proofErr w:type="spellStart"/>
      <w:r w:rsidR="00DD692C">
        <w:t>generalisable</w:t>
      </w:r>
      <w:proofErr w:type="spellEnd"/>
      <w:r w:rsidR="00DD692C">
        <w:t xml:space="preserve"> to the wider populations of Australia and the UK, they are at least indicative of language used by different age groups in these two locations, and could provide the basis for a much larger study. </w:t>
      </w:r>
    </w:p>
    <w:p w:rsidR="002C6B93" w:rsidRDefault="00DD692C" w:rsidP="002C6B93">
      <w:pPr>
        <w:ind w:left="-567"/>
        <w:rPr>
          <w:b/>
          <w:bCs/>
        </w:rPr>
      </w:pPr>
      <w:r>
        <w:rPr>
          <w:b/>
          <w:bCs/>
        </w:rPr>
        <w:t>Conclusion</w:t>
      </w:r>
    </w:p>
    <w:p w:rsidR="002C6B93" w:rsidRDefault="002C6B93" w:rsidP="002C6B93">
      <w:pPr>
        <w:ind w:left="-567"/>
        <w:rPr>
          <w:b/>
          <w:bCs/>
        </w:rPr>
      </w:pPr>
    </w:p>
    <w:p w:rsidR="00DD692C" w:rsidRDefault="00DD692C" w:rsidP="00186F48">
      <w:pPr>
        <w:spacing w:line="480" w:lineRule="auto"/>
        <w:ind w:left="-567" w:right="-199" w:firstLine="567"/>
        <w:jc w:val="both"/>
      </w:pPr>
      <w:r>
        <w:t xml:space="preserve">The implications of these results for dictionaries are that many idioms are likely to be encountered by the target group, either from friends, in conversation and literature, or on television. </w:t>
      </w:r>
      <w:r w:rsidR="00186F48">
        <w:lastRenderedPageBreak/>
        <w:t xml:space="preserve">If Atkins and </w:t>
      </w:r>
      <w:proofErr w:type="spellStart"/>
      <w:r w:rsidR="00186F48">
        <w:t>Rundell’s</w:t>
      </w:r>
      <w:proofErr w:type="spellEnd"/>
      <w:r w:rsidR="00186F48">
        <w:t xml:space="preserve"> (2008, p. 32) desideratum is to be met, therefore, s</w:t>
      </w:r>
      <w:r>
        <w:t>uch idioms need to be included in a MELD. Some idioms, however, may rarely be heard by younger people in Australia, and so are less likely to be needed in a learner’s dictionary sold in that country. While it might be costly to provide a separate list of expressions used in Australia, an online version of a MELD could indicate which idioms are more likely to be used there, and by which age groups. This would enable learners to participate more fully in the local culture, confident that even when they cannot understand an expression they would</w:t>
      </w:r>
      <w:r w:rsidR="008C09C1">
        <w:t xml:space="preserve"> know where to find its meaning and use it in the right context. </w:t>
      </w:r>
    </w:p>
    <w:p w:rsidR="00DD692C" w:rsidRDefault="00DD692C">
      <w:pPr>
        <w:ind w:left="-567" w:right="-199"/>
        <w:rPr>
          <w:b/>
          <w:bCs/>
        </w:rPr>
      </w:pPr>
      <w:r>
        <w:rPr>
          <w:b/>
          <w:bCs/>
        </w:rPr>
        <w:t>References</w:t>
      </w:r>
    </w:p>
    <w:p w:rsidR="00DD692C" w:rsidRDefault="00DD692C">
      <w:pPr>
        <w:ind w:left="-567" w:right="-199"/>
        <w:rPr>
          <w:rFonts w:ascii="Arial" w:hAnsi="Arial" w:cs="Arial"/>
          <w:sz w:val="20"/>
          <w:szCs w:val="20"/>
        </w:rPr>
      </w:pPr>
    </w:p>
    <w:p w:rsidR="007104CF" w:rsidRPr="007F7C12" w:rsidRDefault="007104CF" w:rsidP="007F7C12">
      <w:pPr>
        <w:tabs>
          <w:tab w:val="left" w:pos="0"/>
        </w:tabs>
        <w:autoSpaceDE w:val="0"/>
        <w:autoSpaceDN w:val="0"/>
        <w:adjustRightInd w:val="0"/>
        <w:ind w:right="-62" w:hanging="567"/>
        <w:jc w:val="both"/>
      </w:pPr>
      <w:proofErr w:type="spellStart"/>
      <w:r w:rsidRPr="007F7C12">
        <w:t>Algeo</w:t>
      </w:r>
      <w:proofErr w:type="spellEnd"/>
      <w:r w:rsidRPr="007F7C12">
        <w:t xml:space="preserve">, J 1995, ‘British and American biases in English dictionaries’, in B </w:t>
      </w:r>
      <w:proofErr w:type="spellStart"/>
      <w:r w:rsidRPr="007F7C12">
        <w:t>B</w:t>
      </w:r>
      <w:proofErr w:type="spellEnd"/>
      <w:r w:rsidRPr="007F7C12">
        <w:t xml:space="preserve"> </w:t>
      </w:r>
      <w:proofErr w:type="spellStart"/>
      <w:r w:rsidRPr="007F7C12">
        <w:t>Kachru</w:t>
      </w:r>
      <w:proofErr w:type="spellEnd"/>
      <w:r w:rsidRPr="007F7C12">
        <w:t xml:space="preserve"> &amp; H </w:t>
      </w:r>
      <w:proofErr w:type="spellStart"/>
      <w:r w:rsidRPr="007F7C12">
        <w:t>Kahane</w:t>
      </w:r>
      <w:proofErr w:type="spellEnd"/>
      <w:r w:rsidRPr="007F7C12">
        <w:t xml:space="preserve"> (</w:t>
      </w:r>
      <w:proofErr w:type="spellStart"/>
      <w:r w:rsidRPr="007F7C12">
        <w:t>eds</w:t>
      </w:r>
      <w:proofErr w:type="spellEnd"/>
      <w:r w:rsidRPr="007F7C12">
        <w:t xml:space="preserve">), </w:t>
      </w:r>
      <w:r w:rsidRPr="007F7C12">
        <w:rPr>
          <w:i/>
        </w:rPr>
        <w:t>Cultures, ideologies and the dictionary</w:t>
      </w:r>
      <w:r w:rsidRPr="007F7C12">
        <w:t xml:space="preserve">, Max Niemeyer </w:t>
      </w:r>
      <w:proofErr w:type="spellStart"/>
      <w:r w:rsidRPr="007F7C12">
        <w:t>Verlag</w:t>
      </w:r>
      <w:proofErr w:type="spellEnd"/>
      <w:r w:rsidRPr="007F7C12">
        <w:t xml:space="preserve">, </w:t>
      </w:r>
      <w:proofErr w:type="spellStart"/>
      <w:r w:rsidRPr="007F7C12">
        <w:t>T</w:t>
      </w:r>
      <w:r w:rsidR="00367747" w:rsidRPr="007F7C12">
        <w:t>ü</w:t>
      </w:r>
      <w:r w:rsidRPr="007F7C12">
        <w:t>bingen</w:t>
      </w:r>
      <w:proofErr w:type="spellEnd"/>
      <w:r w:rsidRPr="007F7C12">
        <w:t>, pp. 205-212.</w:t>
      </w:r>
    </w:p>
    <w:p w:rsidR="004C4DF7" w:rsidRPr="007F7C12" w:rsidRDefault="004C4DF7" w:rsidP="007F7C12">
      <w:pPr>
        <w:tabs>
          <w:tab w:val="left" w:pos="0"/>
        </w:tabs>
        <w:ind w:right="-199" w:hanging="567"/>
        <w:jc w:val="both"/>
      </w:pPr>
      <w:r w:rsidRPr="007F7C12">
        <w:t xml:space="preserve">Atkins, BTS &amp; </w:t>
      </w:r>
      <w:proofErr w:type="spellStart"/>
      <w:r w:rsidRPr="007F7C12">
        <w:t>Rundell</w:t>
      </w:r>
      <w:proofErr w:type="spellEnd"/>
      <w:r w:rsidRPr="007F7C12">
        <w:t xml:space="preserve">, M 2008, </w:t>
      </w:r>
      <w:r w:rsidRPr="007F7C12">
        <w:rPr>
          <w:i/>
        </w:rPr>
        <w:t>The Oxford guide to practical lexicography</w:t>
      </w:r>
      <w:r w:rsidRPr="007F7C12">
        <w:t>, Oxford University Press, Oxford.</w:t>
      </w:r>
    </w:p>
    <w:p w:rsidR="007104CF" w:rsidRPr="007F7C12" w:rsidRDefault="002B168F" w:rsidP="00C11E96">
      <w:pPr>
        <w:tabs>
          <w:tab w:val="left" w:pos="0"/>
        </w:tabs>
        <w:autoSpaceDE w:val="0"/>
        <w:autoSpaceDN w:val="0"/>
        <w:adjustRightInd w:val="0"/>
        <w:ind w:right="-62" w:hanging="567"/>
        <w:jc w:val="both"/>
      </w:pPr>
      <w:proofErr w:type="spellStart"/>
      <w:r>
        <w:t>Čermá</w:t>
      </w:r>
      <w:r w:rsidR="007104CF" w:rsidRPr="007F7C12">
        <w:t>k</w:t>
      </w:r>
      <w:proofErr w:type="spellEnd"/>
      <w:r w:rsidR="007104CF" w:rsidRPr="007F7C12">
        <w:t>, F 2001, ‘Substance of idioms: perennial problems, lack of data or theory?</w:t>
      </w:r>
      <w:proofErr w:type="gramStart"/>
      <w:r w:rsidR="007104CF" w:rsidRPr="007F7C12">
        <w:t>’,</w:t>
      </w:r>
      <w:proofErr w:type="gramEnd"/>
      <w:r w:rsidR="007104CF" w:rsidRPr="007F7C12">
        <w:t xml:space="preserve"> </w:t>
      </w:r>
      <w:r w:rsidR="007104CF" w:rsidRPr="007F7C12">
        <w:rPr>
          <w:i/>
        </w:rPr>
        <w:t>International Journal of lexicography</w:t>
      </w:r>
      <w:r w:rsidR="007104CF" w:rsidRPr="007F7C12">
        <w:t>, vol. 14, no. 1, pp. 1-20.</w:t>
      </w:r>
    </w:p>
    <w:p w:rsidR="007F7C12" w:rsidRPr="0048427B" w:rsidRDefault="007F7C12" w:rsidP="0048427B">
      <w:pPr>
        <w:autoSpaceDE w:val="0"/>
        <w:autoSpaceDN w:val="0"/>
        <w:adjustRightInd w:val="0"/>
        <w:ind w:hanging="567"/>
        <w:rPr>
          <w:i/>
          <w:iCs/>
          <w:lang w:eastAsia="en-AU"/>
        </w:rPr>
      </w:pPr>
      <w:proofErr w:type="spellStart"/>
      <w:r w:rsidRPr="0048427B">
        <w:t>Cowie</w:t>
      </w:r>
      <w:proofErr w:type="spellEnd"/>
      <w:r w:rsidR="0048427B" w:rsidRPr="0048427B">
        <w:t xml:space="preserve">, AP 1981, </w:t>
      </w:r>
      <w:r w:rsidR="0048427B">
        <w:t>‘</w:t>
      </w:r>
      <w:r w:rsidR="0048427B">
        <w:rPr>
          <w:iCs/>
          <w:lang w:eastAsia="en-AU"/>
        </w:rPr>
        <w:t>The treatment of c</w:t>
      </w:r>
      <w:r w:rsidR="0048427B" w:rsidRPr="0048427B">
        <w:rPr>
          <w:iCs/>
          <w:lang w:eastAsia="en-AU"/>
        </w:rPr>
        <w:t xml:space="preserve">ollocations and </w:t>
      </w:r>
      <w:r w:rsidR="0048427B">
        <w:rPr>
          <w:iCs/>
          <w:lang w:eastAsia="en-AU"/>
        </w:rPr>
        <w:t>idioms in learners' d</w:t>
      </w:r>
      <w:r w:rsidR="0048427B" w:rsidRPr="0048427B">
        <w:rPr>
          <w:iCs/>
          <w:lang w:eastAsia="en-AU"/>
        </w:rPr>
        <w:t>ictionaries</w:t>
      </w:r>
      <w:r w:rsidR="0048427B">
        <w:rPr>
          <w:iCs/>
          <w:lang w:eastAsia="en-AU"/>
        </w:rPr>
        <w:t>’</w:t>
      </w:r>
      <w:r w:rsidR="0048427B" w:rsidRPr="0048427B">
        <w:rPr>
          <w:i/>
          <w:iCs/>
          <w:lang w:eastAsia="en-AU"/>
        </w:rPr>
        <w:t xml:space="preserve">, Applied Linguistics, </w:t>
      </w:r>
      <w:r w:rsidR="0048427B" w:rsidRPr="0048427B">
        <w:rPr>
          <w:iCs/>
          <w:lang w:eastAsia="en-AU"/>
        </w:rPr>
        <w:t>vol. 2, no. 3, pp. 223-235.</w:t>
      </w:r>
    </w:p>
    <w:p w:rsidR="007F7C12" w:rsidRDefault="00632019" w:rsidP="00C11E96">
      <w:pPr>
        <w:tabs>
          <w:tab w:val="left" w:pos="0"/>
        </w:tabs>
        <w:autoSpaceDE w:val="0"/>
        <w:autoSpaceDN w:val="0"/>
        <w:adjustRightInd w:val="0"/>
        <w:ind w:right="-62" w:hanging="567"/>
        <w:jc w:val="both"/>
      </w:pPr>
      <w:r w:rsidRPr="007F7C12">
        <w:t xml:space="preserve">Curtain, JM 2001, </w:t>
      </w:r>
      <w:r w:rsidR="007F7C12">
        <w:t>‘</w:t>
      </w:r>
      <w:r w:rsidRPr="007F7C12">
        <w:rPr>
          <w:lang w:eastAsia="en-AU"/>
        </w:rPr>
        <w:t>The acquisition of colloquialisms by non-native speakers</w:t>
      </w:r>
      <w:r w:rsidR="007F7C12">
        <w:rPr>
          <w:lang w:eastAsia="en-AU"/>
        </w:rPr>
        <w:t>’</w:t>
      </w:r>
      <w:r w:rsidRPr="007F7C12">
        <w:rPr>
          <w:lang w:eastAsia="en-AU"/>
        </w:rPr>
        <w:t>, in D Blair and P Collins</w:t>
      </w:r>
      <w:r w:rsidR="007F7C12">
        <w:rPr>
          <w:lang w:eastAsia="en-AU"/>
        </w:rPr>
        <w:t xml:space="preserve"> (</w:t>
      </w:r>
      <w:proofErr w:type="spellStart"/>
      <w:r w:rsidR="007F7C12">
        <w:rPr>
          <w:lang w:eastAsia="en-AU"/>
        </w:rPr>
        <w:t>eds</w:t>
      </w:r>
      <w:proofErr w:type="spellEnd"/>
      <w:r w:rsidR="007F7C12">
        <w:rPr>
          <w:lang w:eastAsia="en-AU"/>
        </w:rPr>
        <w:t>)</w:t>
      </w:r>
      <w:r w:rsidRPr="007F7C12">
        <w:rPr>
          <w:lang w:eastAsia="en-AU"/>
        </w:rPr>
        <w:t xml:space="preserve">, </w:t>
      </w:r>
      <w:r w:rsidRPr="007F7C12">
        <w:rPr>
          <w:i/>
          <w:lang w:eastAsia="en-AU"/>
        </w:rPr>
        <w:t>English in Australia</w:t>
      </w:r>
      <w:r w:rsidRPr="007F7C12">
        <w:rPr>
          <w:lang w:eastAsia="en-AU"/>
        </w:rPr>
        <w:t xml:space="preserve">, John </w:t>
      </w:r>
      <w:proofErr w:type="spellStart"/>
      <w:r w:rsidRPr="007F7C12">
        <w:rPr>
          <w:lang w:eastAsia="en-AU"/>
        </w:rPr>
        <w:t>Benjamins</w:t>
      </w:r>
      <w:proofErr w:type="spellEnd"/>
      <w:r w:rsidRPr="007F7C12">
        <w:rPr>
          <w:lang w:eastAsia="en-AU"/>
        </w:rPr>
        <w:t xml:space="preserve"> Publishing Company, Amsterdam</w:t>
      </w:r>
      <w:r w:rsidR="00186F48">
        <w:rPr>
          <w:lang w:eastAsia="en-AU"/>
        </w:rPr>
        <w:t>, pp.</w:t>
      </w:r>
      <w:r w:rsidR="00A56878">
        <w:rPr>
          <w:lang w:eastAsia="en-AU"/>
        </w:rPr>
        <w:t xml:space="preserve"> 259-270.</w:t>
      </w:r>
      <w:r w:rsidR="00186F48">
        <w:rPr>
          <w:lang w:eastAsia="en-AU"/>
        </w:rPr>
        <w:t xml:space="preserve"> </w:t>
      </w:r>
    </w:p>
    <w:p w:rsidR="007104CF" w:rsidRDefault="007104CF" w:rsidP="00C11E96">
      <w:pPr>
        <w:tabs>
          <w:tab w:val="left" w:pos="0"/>
        </w:tabs>
        <w:autoSpaceDE w:val="0"/>
        <w:autoSpaceDN w:val="0"/>
        <w:adjustRightInd w:val="0"/>
        <w:ind w:right="-62" w:hanging="567"/>
        <w:jc w:val="both"/>
      </w:pPr>
      <w:proofErr w:type="spellStart"/>
      <w:r w:rsidRPr="007F7C12">
        <w:rPr>
          <w:bCs/>
        </w:rPr>
        <w:t>Deignan</w:t>
      </w:r>
      <w:proofErr w:type="spellEnd"/>
      <w:r w:rsidRPr="007F7C12">
        <w:rPr>
          <w:bCs/>
        </w:rPr>
        <w:t>, A 1999, ‘</w:t>
      </w:r>
      <w:r w:rsidRPr="007F7C12">
        <w:t>Corpus-</w:t>
      </w:r>
      <w:r w:rsidR="007F7C12">
        <w:t xml:space="preserve">based research into metaphor’, </w:t>
      </w:r>
      <w:r w:rsidRPr="007F7C12">
        <w:t>in L Cameron &amp; G Low (</w:t>
      </w:r>
      <w:proofErr w:type="spellStart"/>
      <w:proofErr w:type="gramStart"/>
      <w:r w:rsidRPr="007F7C12">
        <w:t>eds</w:t>
      </w:r>
      <w:proofErr w:type="spellEnd"/>
      <w:proofErr w:type="gramEnd"/>
      <w:r w:rsidRPr="007F7C12">
        <w:t xml:space="preserve">), </w:t>
      </w:r>
      <w:r w:rsidRPr="007F7C12">
        <w:rPr>
          <w:i/>
        </w:rPr>
        <w:t>Researching and applying metaphor,</w:t>
      </w:r>
      <w:r w:rsidRPr="007F7C12">
        <w:t xml:space="preserve"> Cambridge University Press</w:t>
      </w:r>
      <w:r w:rsidR="00186F48">
        <w:t>, Cambridge, pp. 177-199.</w:t>
      </w:r>
    </w:p>
    <w:p w:rsidR="007104CF" w:rsidRDefault="007104CF" w:rsidP="00C11E96">
      <w:pPr>
        <w:tabs>
          <w:tab w:val="left" w:pos="0"/>
        </w:tabs>
        <w:ind w:hanging="567"/>
        <w:jc w:val="both"/>
      </w:pPr>
      <w:r w:rsidRPr="007F7C12">
        <w:t xml:space="preserve">Fillmore, CJ, Kay, P &amp; O’Connor, MC 1988, ‘Regularity and </w:t>
      </w:r>
      <w:proofErr w:type="spellStart"/>
      <w:r w:rsidRPr="007F7C12">
        <w:t>idiomaticity</w:t>
      </w:r>
      <w:proofErr w:type="spellEnd"/>
      <w:r w:rsidRPr="007F7C12">
        <w:t xml:space="preserve"> in grammatical constructions: the case of let alone’, </w:t>
      </w:r>
      <w:r w:rsidRPr="007F7C12">
        <w:rPr>
          <w:i/>
        </w:rPr>
        <w:t>Language</w:t>
      </w:r>
      <w:r w:rsidRPr="007F7C12">
        <w:t>, vol. 64, no. 3, pp. 501-538.</w:t>
      </w:r>
    </w:p>
    <w:p w:rsidR="00F8291E" w:rsidRPr="00F8291E" w:rsidRDefault="002B168F" w:rsidP="00F8291E">
      <w:pPr>
        <w:tabs>
          <w:tab w:val="left" w:pos="0"/>
        </w:tabs>
        <w:autoSpaceDE w:val="0"/>
        <w:autoSpaceDN w:val="0"/>
        <w:adjustRightInd w:val="0"/>
        <w:ind w:right="-62" w:hanging="567"/>
        <w:jc w:val="both"/>
        <w:rPr>
          <w:bCs/>
        </w:rPr>
      </w:pPr>
      <w:proofErr w:type="spellStart"/>
      <w:r>
        <w:t>Glä</w:t>
      </w:r>
      <w:r w:rsidR="00F8291E" w:rsidRPr="007F7C12">
        <w:t>ser</w:t>
      </w:r>
      <w:proofErr w:type="spellEnd"/>
      <w:r w:rsidR="00F8291E" w:rsidRPr="007F7C12">
        <w:t xml:space="preserve">, M 1998, </w:t>
      </w:r>
      <w:proofErr w:type="gramStart"/>
      <w:r w:rsidR="00F8291E" w:rsidRPr="007F7C12">
        <w:t>The</w:t>
      </w:r>
      <w:proofErr w:type="gramEnd"/>
      <w:r w:rsidR="00F8291E" w:rsidRPr="007F7C12">
        <w:t xml:space="preserve"> stylistic potential of </w:t>
      </w:r>
      <w:proofErr w:type="spellStart"/>
      <w:r w:rsidR="00F8291E" w:rsidRPr="007F7C12">
        <w:t>phraseological</w:t>
      </w:r>
      <w:proofErr w:type="spellEnd"/>
      <w:r w:rsidR="00F8291E" w:rsidRPr="007F7C12">
        <w:t xml:space="preserve"> units in the light of genre analysis’, in </w:t>
      </w:r>
      <w:r w:rsidR="00F8291E" w:rsidRPr="007F7C12">
        <w:rPr>
          <w:bCs/>
        </w:rPr>
        <w:t xml:space="preserve">A </w:t>
      </w:r>
      <w:proofErr w:type="spellStart"/>
      <w:r w:rsidR="00F8291E" w:rsidRPr="007F7C12">
        <w:rPr>
          <w:bCs/>
        </w:rPr>
        <w:t>Cowie</w:t>
      </w:r>
      <w:proofErr w:type="spellEnd"/>
      <w:r w:rsidR="00F8291E" w:rsidRPr="007F7C12">
        <w:rPr>
          <w:bCs/>
        </w:rPr>
        <w:t xml:space="preserve"> (ed.), </w:t>
      </w:r>
      <w:r w:rsidR="00F8291E" w:rsidRPr="007F7C12">
        <w:rPr>
          <w:bCs/>
          <w:i/>
        </w:rPr>
        <w:t>Phraseology: theory, analysis and applications</w:t>
      </w:r>
      <w:r w:rsidR="00F8291E" w:rsidRPr="007F7C12">
        <w:rPr>
          <w:bCs/>
        </w:rPr>
        <w:t xml:space="preserve">, Clarendon Press, Oxford, pp. 125-143. </w:t>
      </w:r>
    </w:p>
    <w:p w:rsidR="007104CF" w:rsidRPr="007F7C12" w:rsidRDefault="007104CF" w:rsidP="00C11E96">
      <w:pPr>
        <w:tabs>
          <w:tab w:val="left" w:pos="0"/>
        </w:tabs>
        <w:autoSpaceDE w:val="0"/>
        <w:autoSpaceDN w:val="0"/>
        <w:adjustRightInd w:val="0"/>
        <w:ind w:right="-62" w:hanging="567"/>
        <w:jc w:val="both"/>
      </w:pPr>
      <w:proofErr w:type="gramStart"/>
      <w:r w:rsidRPr="007F7C12">
        <w:t xml:space="preserve">Hanks, P 2004, </w:t>
      </w:r>
      <w:r w:rsidR="00186F48">
        <w:t>‘</w:t>
      </w:r>
      <w:r w:rsidRPr="007F7C12">
        <w:t xml:space="preserve">The </w:t>
      </w:r>
      <w:proofErr w:type="spellStart"/>
      <w:r w:rsidRPr="007F7C12">
        <w:t>syntagmatics</w:t>
      </w:r>
      <w:proofErr w:type="spellEnd"/>
      <w:r w:rsidRPr="007F7C12">
        <w:t xml:space="preserve"> of metaphor and i</w:t>
      </w:r>
      <w:r w:rsidR="00186F48">
        <w:t>diom’,</w:t>
      </w:r>
      <w:r w:rsidRPr="007F7C12">
        <w:t xml:space="preserve"> </w:t>
      </w:r>
      <w:r w:rsidRPr="007F7C12">
        <w:rPr>
          <w:i/>
        </w:rPr>
        <w:t>International Journal of Lexicography</w:t>
      </w:r>
      <w:r w:rsidRPr="007F7C12">
        <w:t>, vol. 17, no. 3, pp. 245-274.</w:t>
      </w:r>
      <w:proofErr w:type="gramEnd"/>
    </w:p>
    <w:p w:rsidR="007104CF" w:rsidRDefault="007104CF" w:rsidP="00C11E96">
      <w:pPr>
        <w:tabs>
          <w:tab w:val="left" w:pos="0"/>
        </w:tabs>
        <w:autoSpaceDE w:val="0"/>
        <w:autoSpaceDN w:val="0"/>
        <w:adjustRightInd w:val="0"/>
        <w:ind w:right="-62" w:hanging="567"/>
        <w:jc w:val="both"/>
      </w:pPr>
      <w:proofErr w:type="spellStart"/>
      <w:r w:rsidRPr="007F7C12">
        <w:t>Howarth</w:t>
      </w:r>
      <w:proofErr w:type="spellEnd"/>
      <w:r w:rsidRPr="007F7C12">
        <w:t xml:space="preserve">, P 1996, </w:t>
      </w:r>
      <w:r w:rsidRPr="007F7C12">
        <w:rPr>
          <w:i/>
        </w:rPr>
        <w:t>Phraseology in English academic writing: some implications for language learning and dictionary making</w:t>
      </w:r>
      <w:r w:rsidRPr="007F7C12">
        <w:t>, Max Niemeye</w:t>
      </w:r>
      <w:r w:rsidR="00186F48">
        <w:t xml:space="preserve">r </w:t>
      </w:r>
      <w:proofErr w:type="spellStart"/>
      <w:r w:rsidR="00186F48">
        <w:t>Verlag</w:t>
      </w:r>
      <w:proofErr w:type="spellEnd"/>
      <w:r w:rsidR="00186F48">
        <w:t xml:space="preserve">, </w:t>
      </w:r>
      <w:proofErr w:type="spellStart"/>
      <w:r w:rsidR="00186F48">
        <w:t>Tü</w:t>
      </w:r>
      <w:r w:rsidRPr="007F7C12">
        <w:t>bingen</w:t>
      </w:r>
      <w:proofErr w:type="spellEnd"/>
      <w:r w:rsidRPr="007F7C12">
        <w:t xml:space="preserve">. </w:t>
      </w:r>
    </w:p>
    <w:p w:rsidR="00B342FE" w:rsidRPr="007F7C12" w:rsidRDefault="00B342FE" w:rsidP="00C11E96">
      <w:pPr>
        <w:tabs>
          <w:tab w:val="left" w:pos="0"/>
        </w:tabs>
        <w:autoSpaceDE w:val="0"/>
        <w:autoSpaceDN w:val="0"/>
        <w:adjustRightInd w:val="0"/>
        <w:ind w:hanging="567"/>
        <w:jc w:val="both"/>
      </w:pPr>
      <w:r w:rsidRPr="007F7C12">
        <w:t xml:space="preserve">Leech, G &amp; </w:t>
      </w:r>
      <w:proofErr w:type="spellStart"/>
      <w:r w:rsidRPr="007F7C12">
        <w:t>Nesi</w:t>
      </w:r>
      <w:proofErr w:type="spellEnd"/>
      <w:r w:rsidRPr="007F7C12">
        <w:t xml:space="preserve">, H 1999, ‘Moving towards perfection: the learners' (electronic) dictionary of the future’, </w:t>
      </w:r>
      <w:r w:rsidRPr="007F7C12">
        <w:rPr>
          <w:i/>
        </w:rPr>
        <w:t>The perfect learners' dictionary (?)</w:t>
      </w:r>
      <w:proofErr w:type="gramStart"/>
      <w:r w:rsidRPr="007F7C12">
        <w:rPr>
          <w:i/>
        </w:rPr>
        <w:t>,</w:t>
      </w:r>
      <w:r w:rsidRPr="007F7C12">
        <w:t>Max</w:t>
      </w:r>
      <w:proofErr w:type="gramEnd"/>
      <w:r w:rsidRPr="007F7C12">
        <w:t xml:space="preserve"> Niemeyer </w:t>
      </w:r>
      <w:proofErr w:type="spellStart"/>
      <w:r w:rsidRPr="007F7C12">
        <w:t>Verlag</w:t>
      </w:r>
      <w:proofErr w:type="spellEnd"/>
      <w:r w:rsidRPr="007F7C12">
        <w:t xml:space="preserve">, </w:t>
      </w:r>
      <w:proofErr w:type="spellStart"/>
      <w:r w:rsidR="00186F48">
        <w:t>Tü</w:t>
      </w:r>
      <w:r w:rsidR="00186F48" w:rsidRPr="007F7C12">
        <w:t>bingen</w:t>
      </w:r>
      <w:proofErr w:type="spellEnd"/>
      <w:r w:rsidRPr="007F7C12">
        <w:t>, pp. 295-306.</w:t>
      </w:r>
    </w:p>
    <w:p w:rsidR="00DD692C" w:rsidRPr="007F7C12" w:rsidRDefault="0062475B" w:rsidP="00C11E96">
      <w:pPr>
        <w:tabs>
          <w:tab w:val="left" w:pos="0"/>
        </w:tabs>
        <w:ind w:right="-199" w:hanging="567"/>
        <w:jc w:val="both"/>
      </w:pPr>
      <w:r w:rsidRPr="007F7C12">
        <w:t>Low, G &amp; Littlemore, J 2009, ‘</w:t>
      </w:r>
      <w:proofErr w:type="gramStart"/>
      <w:r w:rsidR="007F7176">
        <w:t>The</w:t>
      </w:r>
      <w:proofErr w:type="gramEnd"/>
      <w:r w:rsidR="00186F48">
        <w:t xml:space="preserve"> </w:t>
      </w:r>
      <w:r w:rsidRPr="007F7C12">
        <w:t xml:space="preserve">relationship between conceptual metaphors and classroom management language: reactions by native and non-native speakers of English’, </w:t>
      </w:r>
      <w:proofErr w:type="spellStart"/>
      <w:r w:rsidRPr="007F7C12">
        <w:rPr>
          <w:i/>
        </w:rPr>
        <w:t>Ibérica</w:t>
      </w:r>
      <w:proofErr w:type="spellEnd"/>
      <w:r w:rsidRPr="007F7C12">
        <w:t xml:space="preserve">, vol. 17, pp. 25-44. </w:t>
      </w:r>
    </w:p>
    <w:p w:rsidR="007104CF" w:rsidRPr="007F7C12" w:rsidRDefault="007104CF" w:rsidP="00C11E96">
      <w:pPr>
        <w:tabs>
          <w:tab w:val="left" w:pos="0"/>
        </w:tabs>
        <w:autoSpaceDE w:val="0"/>
        <w:autoSpaceDN w:val="0"/>
        <w:adjustRightInd w:val="0"/>
        <w:ind w:right="-62" w:hanging="567"/>
        <w:jc w:val="both"/>
      </w:pPr>
      <w:r w:rsidRPr="007F7C12">
        <w:t xml:space="preserve">Moon 1998, </w:t>
      </w:r>
      <w:proofErr w:type="gramStart"/>
      <w:r w:rsidRPr="007F7C12">
        <w:rPr>
          <w:i/>
        </w:rPr>
        <w:t>Fixed</w:t>
      </w:r>
      <w:proofErr w:type="gramEnd"/>
      <w:r w:rsidRPr="007F7C12">
        <w:rPr>
          <w:i/>
        </w:rPr>
        <w:t xml:space="preserve"> expressions and idioms in English</w:t>
      </w:r>
      <w:r w:rsidRPr="007F7C12">
        <w:t>, Clarendon Press, Oxford.</w:t>
      </w:r>
    </w:p>
    <w:p w:rsidR="00DD692C" w:rsidRPr="007F7C12" w:rsidRDefault="00DD692C" w:rsidP="00C11E96">
      <w:pPr>
        <w:tabs>
          <w:tab w:val="left" w:pos="0"/>
        </w:tabs>
        <w:ind w:right="-199" w:hanging="567"/>
        <w:jc w:val="both"/>
      </w:pPr>
      <w:proofErr w:type="spellStart"/>
      <w:r w:rsidRPr="007F7C12">
        <w:t>Nesi</w:t>
      </w:r>
      <w:proofErr w:type="spellEnd"/>
      <w:r w:rsidRPr="007F7C12">
        <w:t xml:space="preserve">, H 2000, </w:t>
      </w:r>
      <w:proofErr w:type="gramStart"/>
      <w:r w:rsidRPr="007F7C12">
        <w:rPr>
          <w:i/>
          <w:iCs/>
        </w:rPr>
        <w:t>The</w:t>
      </w:r>
      <w:proofErr w:type="gramEnd"/>
      <w:r w:rsidRPr="007F7C12">
        <w:rPr>
          <w:i/>
          <w:iCs/>
        </w:rPr>
        <w:t xml:space="preserve"> use and abuse of EFL dictionaries</w:t>
      </w:r>
      <w:r w:rsidRPr="007F7C12">
        <w:t xml:space="preserve">, Max Niemeyer, </w:t>
      </w:r>
      <w:proofErr w:type="spellStart"/>
      <w:r w:rsidRPr="007F7C12">
        <w:t>Tübingen</w:t>
      </w:r>
      <w:proofErr w:type="spellEnd"/>
      <w:r w:rsidRPr="007F7C12">
        <w:t xml:space="preserve">. </w:t>
      </w:r>
    </w:p>
    <w:p w:rsidR="007104CF" w:rsidRPr="007F7C12" w:rsidRDefault="007104CF" w:rsidP="00C11E96">
      <w:pPr>
        <w:tabs>
          <w:tab w:val="left" w:pos="0"/>
        </w:tabs>
        <w:ind w:right="-199" w:hanging="567"/>
        <w:jc w:val="both"/>
      </w:pPr>
      <w:r w:rsidRPr="007F7C12">
        <w:t xml:space="preserve">Stein, G 1999, ‘Exemplification in EFL dictionaries’, in T </w:t>
      </w:r>
      <w:proofErr w:type="spellStart"/>
      <w:r w:rsidRPr="007F7C12">
        <w:t>Herbst</w:t>
      </w:r>
      <w:proofErr w:type="spellEnd"/>
      <w:r w:rsidRPr="007F7C12">
        <w:t xml:space="preserve"> and K Popp (</w:t>
      </w:r>
      <w:proofErr w:type="spellStart"/>
      <w:r w:rsidRPr="007F7C12">
        <w:t>eds</w:t>
      </w:r>
      <w:proofErr w:type="spellEnd"/>
      <w:r w:rsidRPr="007F7C12">
        <w:t xml:space="preserve">), </w:t>
      </w:r>
      <w:r w:rsidRPr="007F7C12">
        <w:rPr>
          <w:i/>
        </w:rPr>
        <w:t>The perfect learners</w:t>
      </w:r>
      <w:r w:rsidR="00010EA5" w:rsidRPr="007F7C12">
        <w:rPr>
          <w:i/>
        </w:rPr>
        <w:t>’</w:t>
      </w:r>
      <w:r w:rsidRPr="007F7C12">
        <w:rPr>
          <w:i/>
        </w:rPr>
        <w:t xml:space="preserve"> dictionary</w:t>
      </w:r>
      <w:r w:rsidR="00B342FE" w:rsidRPr="007F7C12">
        <w:rPr>
          <w:i/>
        </w:rPr>
        <w:t>(</w:t>
      </w:r>
      <w:r w:rsidRPr="007F7C12">
        <w:rPr>
          <w:i/>
        </w:rPr>
        <w:t>?</w:t>
      </w:r>
      <w:r w:rsidR="00B342FE" w:rsidRPr="007F7C12">
        <w:rPr>
          <w:i/>
        </w:rPr>
        <w:t>)</w:t>
      </w:r>
      <w:r w:rsidRPr="007F7C12">
        <w:t xml:space="preserve">, Max Niemeyer </w:t>
      </w:r>
      <w:proofErr w:type="spellStart"/>
      <w:r w:rsidRPr="007F7C12">
        <w:t>V</w:t>
      </w:r>
      <w:r w:rsidR="00B342FE" w:rsidRPr="007F7C12">
        <w:t>erlag</w:t>
      </w:r>
      <w:proofErr w:type="spellEnd"/>
      <w:r w:rsidR="00B342FE" w:rsidRPr="007F7C12">
        <w:t xml:space="preserve">, </w:t>
      </w:r>
      <w:proofErr w:type="spellStart"/>
      <w:r w:rsidR="00B342FE" w:rsidRPr="007F7C12">
        <w:t>T</w:t>
      </w:r>
      <w:r w:rsidR="00367747" w:rsidRPr="007F7C12">
        <w:t>ü</w:t>
      </w:r>
      <w:r w:rsidR="00B342FE" w:rsidRPr="007F7C12">
        <w:t>bingen</w:t>
      </w:r>
      <w:proofErr w:type="spellEnd"/>
      <w:r w:rsidR="00B342FE" w:rsidRPr="007F7C12">
        <w:t>, pp.</w:t>
      </w:r>
      <w:r w:rsidR="00186F48">
        <w:t xml:space="preserve"> 45-70. </w:t>
      </w:r>
      <w:r w:rsidR="00B342FE" w:rsidRPr="007F7C12">
        <w:t xml:space="preserve"> </w:t>
      </w:r>
    </w:p>
    <w:p w:rsidR="00DD692C" w:rsidRDefault="007F7C12" w:rsidP="00DE5EAD">
      <w:pPr>
        <w:tabs>
          <w:tab w:val="left" w:pos="0"/>
        </w:tabs>
        <w:ind w:right="-199" w:hanging="567"/>
        <w:jc w:val="both"/>
      </w:pPr>
      <w:proofErr w:type="spellStart"/>
      <w:r w:rsidRPr="007F7C12">
        <w:t>Weinreich</w:t>
      </w:r>
      <w:proofErr w:type="spellEnd"/>
      <w:r w:rsidRPr="007F7C12">
        <w:t xml:space="preserve">, U 1969, ‘Problems in the analysis of idioms’, in J </w:t>
      </w:r>
      <w:proofErr w:type="spellStart"/>
      <w:r w:rsidRPr="007F7C12">
        <w:t>Puhvel</w:t>
      </w:r>
      <w:proofErr w:type="spellEnd"/>
      <w:r w:rsidRPr="007F7C12">
        <w:t xml:space="preserve"> (ed.), </w:t>
      </w:r>
      <w:r w:rsidRPr="007F7C12">
        <w:rPr>
          <w:i/>
        </w:rPr>
        <w:t>Substance and structure of language</w:t>
      </w:r>
      <w:r w:rsidRPr="007F7C12">
        <w:t>, Universit</w:t>
      </w:r>
      <w:r w:rsidR="00186F48">
        <w:t>y of California Press, Berkeley, pp. 23-81.</w:t>
      </w:r>
    </w:p>
    <w:p w:rsidR="0093223C" w:rsidRDefault="0093223C" w:rsidP="00DE5EAD">
      <w:pPr>
        <w:tabs>
          <w:tab w:val="left" w:pos="0"/>
        </w:tabs>
        <w:ind w:right="-199" w:hanging="567"/>
        <w:jc w:val="both"/>
      </w:pPr>
    </w:p>
    <w:p w:rsidR="0093223C" w:rsidRDefault="0093223C" w:rsidP="00DE5EAD">
      <w:pPr>
        <w:tabs>
          <w:tab w:val="left" w:pos="0"/>
        </w:tabs>
        <w:ind w:right="-199" w:hanging="567"/>
        <w:jc w:val="both"/>
      </w:pPr>
    </w:p>
    <w:sectPr w:rsidR="0093223C" w:rsidSect="002C6B93">
      <w:footerReference w:type="default" r:id="rId7"/>
      <w:pgSz w:w="11906" w:h="16838"/>
      <w:pgMar w:top="964" w:right="1361" w:bottom="90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C1" w:rsidRDefault="008C09C1" w:rsidP="00E50A2C">
      <w:r>
        <w:separator/>
      </w:r>
    </w:p>
  </w:endnote>
  <w:endnote w:type="continuationSeparator" w:id="0">
    <w:p w:rsidR="008C09C1" w:rsidRDefault="008C09C1" w:rsidP="00E50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C1" w:rsidRDefault="00CC3DF8">
    <w:pPr>
      <w:pStyle w:val="Footer"/>
      <w:jc w:val="right"/>
    </w:pPr>
    <w:fldSimple w:instr=" PAGE   \* MERGEFORMAT ">
      <w:r w:rsidR="00CB3B5D">
        <w:rPr>
          <w:noProof/>
        </w:rPr>
        <w:t>1</w:t>
      </w:r>
    </w:fldSimple>
  </w:p>
  <w:p w:rsidR="008C09C1" w:rsidRDefault="008C0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C1" w:rsidRDefault="008C09C1" w:rsidP="00E50A2C">
      <w:r>
        <w:separator/>
      </w:r>
    </w:p>
  </w:footnote>
  <w:footnote w:type="continuationSeparator" w:id="0">
    <w:p w:rsidR="008C09C1" w:rsidRDefault="008C09C1" w:rsidP="00E50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A822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DD692C"/>
    <w:rsid w:val="00001363"/>
    <w:rsid w:val="00010EA5"/>
    <w:rsid w:val="00101DF1"/>
    <w:rsid w:val="00186F48"/>
    <w:rsid w:val="00195266"/>
    <w:rsid w:val="002B168F"/>
    <w:rsid w:val="002C6B93"/>
    <w:rsid w:val="00346673"/>
    <w:rsid w:val="00367747"/>
    <w:rsid w:val="00450F8A"/>
    <w:rsid w:val="00480CE8"/>
    <w:rsid w:val="0048427B"/>
    <w:rsid w:val="004C4DF7"/>
    <w:rsid w:val="004F4F9F"/>
    <w:rsid w:val="0057740B"/>
    <w:rsid w:val="0062475B"/>
    <w:rsid w:val="00632019"/>
    <w:rsid w:val="00645C77"/>
    <w:rsid w:val="006B1E0D"/>
    <w:rsid w:val="007104CF"/>
    <w:rsid w:val="007A5030"/>
    <w:rsid w:val="007B078E"/>
    <w:rsid w:val="007C5A0E"/>
    <w:rsid w:val="007E508B"/>
    <w:rsid w:val="007F7176"/>
    <w:rsid w:val="007F7C12"/>
    <w:rsid w:val="008746CF"/>
    <w:rsid w:val="008845F8"/>
    <w:rsid w:val="008C09C1"/>
    <w:rsid w:val="00913761"/>
    <w:rsid w:val="0093223C"/>
    <w:rsid w:val="00995C15"/>
    <w:rsid w:val="009B5953"/>
    <w:rsid w:val="009D6AF1"/>
    <w:rsid w:val="00A1502D"/>
    <w:rsid w:val="00A56878"/>
    <w:rsid w:val="00A9050F"/>
    <w:rsid w:val="00AA6654"/>
    <w:rsid w:val="00AD198C"/>
    <w:rsid w:val="00AF15D7"/>
    <w:rsid w:val="00B23C60"/>
    <w:rsid w:val="00B342FE"/>
    <w:rsid w:val="00B523BF"/>
    <w:rsid w:val="00B914F1"/>
    <w:rsid w:val="00C03E5E"/>
    <w:rsid w:val="00C11E96"/>
    <w:rsid w:val="00CA3FDD"/>
    <w:rsid w:val="00CB3B5D"/>
    <w:rsid w:val="00CC3DF8"/>
    <w:rsid w:val="00DD692C"/>
    <w:rsid w:val="00DE4C79"/>
    <w:rsid w:val="00DE5EAD"/>
    <w:rsid w:val="00E50A2C"/>
    <w:rsid w:val="00EE2510"/>
    <w:rsid w:val="00F50017"/>
    <w:rsid w:val="00F76AE1"/>
    <w:rsid w:val="00F8291E"/>
    <w:rsid w:val="00FA4269"/>
    <w:rsid w:val="00FE4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F8"/>
    <w:rPr>
      <w:rFonts w:ascii="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45F8"/>
    <w:rPr>
      <w:rFonts w:ascii="Times New Roman" w:hAnsi="Times New Roman" w:cs="Times New Roman"/>
      <w:color w:val="0000FF"/>
      <w:u w:val="single"/>
    </w:rPr>
  </w:style>
  <w:style w:type="character" w:styleId="FollowedHyperlink">
    <w:name w:val="FollowedHyperlink"/>
    <w:basedOn w:val="DefaultParagraphFont"/>
    <w:uiPriority w:val="99"/>
    <w:rsid w:val="008845F8"/>
    <w:rPr>
      <w:rFonts w:ascii="Times New Roman" w:hAnsi="Times New Roman" w:cs="Times New Roman"/>
      <w:color w:val="auto"/>
      <w:u w:val="single"/>
    </w:rPr>
  </w:style>
  <w:style w:type="paragraph" w:styleId="BodyText">
    <w:name w:val="Body Text"/>
    <w:basedOn w:val="Normal"/>
    <w:link w:val="BodyTextChar"/>
    <w:uiPriority w:val="99"/>
    <w:rsid w:val="008845F8"/>
    <w:pPr>
      <w:autoSpaceDE w:val="0"/>
      <w:autoSpaceDN w:val="0"/>
      <w:adjustRightInd w:val="0"/>
      <w:ind w:right="-62"/>
    </w:pPr>
    <w:rPr>
      <w:color w:val="FF0000"/>
    </w:rPr>
  </w:style>
  <w:style w:type="character" w:customStyle="1" w:styleId="BodyTextChar">
    <w:name w:val="Body Text Char"/>
    <w:basedOn w:val="DefaultParagraphFont"/>
    <w:link w:val="BodyText"/>
    <w:uiPriority w:val="99"/>
    <w:semiHidden/>
    <w:rsid w:val="00DD692C"/>
    <w:rPr>
      <w:rFonts w:ascii="Times New Roman" w:hAnsi="Times New Roman"/>
      <w:sz w:val="24"/>
      <w:szCs w:val="24"/>
      <w:lang w:val="en-AU"/>
    </w:rPr>
  </w:style>
  <w:style w:type="paragraph" w:styleId="Header">
    <w:name w:val="header"/>
    <w:basedOn w:val="Normal"/>
    <w:link w:val="HeaderChar"/>
    <w:uiPriority w:val="99"/>
    <w:semiHidden/>
    <w:unhideWhenUsed/>
    <w:rsid w:val="00E50A2C"/>
    <w:pPr>
      <w:tabs>
        <w:tab w:val="center" w:pos="4513"/>
        <w:tab w:val="right" w:pos="9026"/>
      </w:tabs>
    </w:pPr>
  </w:style>
  <w:style w:type="character" w:customStyle="1" w:styleId="HeaderChar">
    <w:name w:val="Header Char"/>
    <w:basedOn w:val="DefaultParagraphFont"/>
    <w:link w:val="Header"/>
    <w:uiPriority w:val="99"/>
    <w:semiHidden/>
    <w:rsid w:val="00E50A2C"/>
    <w:rPr>
      <w:rFonts w:ascii="Times New Roman" w:hAnsi="Times New Roman"/>
      <w:sz w:val="24"/>
      <w:szCs w:val="24"/>
      <w:lang w:val="en-AU"/>
    </w:rPr>
  </w:style>
  <w:style w:type="paragraph" w:styleId="Footer">
    <w:name w:val="footer"/>
    <w:basedOn w:val="Normal"/>
    <w:link w:val="FooterChar"/>
    <w:uiPriority w:val="99"/>
    <w:unhideWhenUsed/>
    <w:rsid w:val="00E50A2C"/>
    <w:pPr>
      <w:tabs>
        <w:tab w:val="center" w:pos="4513"/>
        <w:tab w:val="right" w:pos="9026"/>
      </w:tabs>
    </w:pPr>
  </w:style>
  <w:style w:type="character" w:customStyle="1" w:styleId="FooterChar">
    <w:name w:val="Footer Char"/>
    <w:basedOn w:val="DefaultParagraphFont"/>
    <w:link w:val="Footer"/>
    <w:uiPriority w:val="99"/>
    <w:rsid w:val="00E50A2C"/>
    <w:rPr>
      <w:rFonts w:ascii="Times New Roman" w:hAnsi="Times New Roman"/>
      <w:sz w:val="24"/>
      <w:szCs w:val="24"/>
      <w:lang w:val="en-AU"/>
    </w:rPr>
  </w:style>
  <w:style w:type="paragraph" w:styleId="ListBullet">
    <w:name w:val="List Bullet"/>
    <w:basedOn w:val="Normal"/>
    <w:uiPriority w:val="99"/>
    <w:unhideWhenUsed/>
    <w:rsid w:val="0057740B"/>
    <w:pPr>
      <w:numPr>
        <w:numId w:val="1"/>
      </w:numPr>
      <w:contextualSpacing/>
    </w:pPr>
  </w:style>
  <w:style w:type="paragraph" w:styleId="BalloonText">
    <w:name w:val="Balloon Text"/>
    <w:basedOn w:val="Normal"/>
    <w:link w:val="BalloonTextChar"/>
    <w:uiPriority w:val="99"/>
    <w:semiHidden/>
    <w:unhideWhenUsed/>
    <w:rsid w:val="00AF15D7"/>
    <w:rPr>
      <w:rFonts w:ascii="Tahoma" w:hAnsi="Tahoma" w:cs="Tahoma"/>
      <w:sz w:val="16"/>
      <w:szCs w:val="16"/>
    </w:rPr>
  </w:style>
  <w:style w:type="character" w:customStyle="1" w:styleId="BalloonTextChar">
    <w:name w:val="Balloon Text Char"/>
    <w:basedOn w:val="DefaultParagraphFont"/>
    <w:link w:val="BalloonText"/>
    <w:uiPriority w:val="99"/>
    <w:semiHidden/>
    <w:rsid w:val="00AF15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4</cp:revision>
  <cp:lastPrinted>2009-09-17T07:03:00Z</cp:lastPrinted>
  <dcterms:created xsi:type="dcterms:W3CDTF">2011-07-08T04:39:00Z</dcterms:created>
  <dcterms:modified xsi:type="dcterms:W3CDTF">2011-07-08T04:41:00Z</dcterms:modified>
</cp:coreProperties>
</file>