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CF15E" w14:textId="77777777" w:rsidR="00D447B9" w:rsidRDefault="00D447B9" w:rsidP="00D447B9">
      <w:bookmarkStart w:id="0" w:name="_GoBack"/>
      <w:bookmarkEnd w:id="0"/>
    </w:p>
    <w:p w14:paraId="325C2C7C" w14:textId="4C300BAE" w:rsidR="001C2F9B" w:rsidRDefault="001C2F9B" w:rsidP="008D40E1">
      <w:pPr>
        <w:pStyle w:val="Title"/>
        <w:rPr>
          <w:rStyle w:val="Heading1Char"/>
        </w:rPr>
      </w:pPr>
      <w:r>
        <w:t>Adelaide-Nottingham Alliance</w:t>
      </w:r>
      <w:r w:rsidR="005261AC">
        <w:t xml:space="preserve"> </w:t>
      </w:r>
      <w:r w:rsidR="001544E3">
        <w:rPr>
          <w:rStyle w:val="Heading1Char"/>
        </w:rPr>
        <w:t>Partnership</w:t>
      </w:r>
      <w:r w:rsidR="005261AC" w:rsidRPr="008D40E1">
        <w:rPr>
          <w:rStyle w:val="Heading1Char"/>
        </w:rPr>
        <w:t xml:space="preserve"> Seed Fund</w:t>
      </w:r>
      <w:r w:rsidR="008D40E1">
        <w:rPr>
          <w:rStyle w:val="Heading1Char"/>
        </w:rPr>
        <w:t xml:space="preserve"> </w:t>
      </w:r>
      <w:r w:rsidR="008D40E1" w:rsidRPr="008D40E1">
        <w:rPr>
          <w:rStyle w:val="Heading1Char"/>
        </w:rPr>
        <w:t>Program Guidelines</w:t>
      </w:r>
    </w:p>
    <w:p w14:paraId="1D88A755" w14:textId="2DEF3710" w:rsidR="008D40E1" w:rsidRDefault="008D40E1" w:rsidP="008D40E1">
      <w:pPr>
        <w:pStyle w:val="Heading2"/>
      </w:pPr>
      <w:r>
        <w:t>Summary</w:t>
      </w:r>
    </w:p>
    <w:p w14:paraId="25F7FA19" w14:textId="1F3C7B5D" w:rsidR="00F90E91" w:rsidRDefault="00781ED9" w:rsidP="008D40E1">
      <w:r>
        <w:t xml:space="preserve">The Adelaide-Nottingham Alliance </w:t>
      </w:r>
      <w:r w:rsidR="005E74C8">
        <w:t>(</w:t>
      </w:r>
      <w:r w:rsidR="001544E3">
        <w:t>the Alliance</w:t>
      </w:r>
      <w:r w:rsidR="005E74C8">
        <w:t xml:space="preserve">) </w:t>
      </w:r>
      <w:r>
        <w:t>provides an opportunity to develop broader and deeper collaborations in areas of strategic focus for each institution</w:t>
      </w:r>
      <w:r w:rsidR="005E74C8">
        <w:t xml:space="preserve"> by </w:t>
      </w:r>
      <w:r w:rsidR="002E15DB" w:rsidRPr="002E15DB">
        <w:t>leverag</w:t>
      </w:r>
      <w:r w:rsidR="005E74C8">
        <w:t>ing</w:t>
      </w:r>
      <w:r w:rsidR="002E15DB" w:rsidRPr="002E15DB">
        <w:t xml:space="preserve"> complementary strengths and trans-disciplinary scholarship to advance research collaboration </w:t>
      </w:r>
      <w:r w:rsidR="003B0227">
        <w:t xml:space="preserve">and </w:t>
      </w:r>
      <w:r w:rsidR="002E15DB" w:rsidRPr="002E15DB">
        <w:t xml:space="preserve">academic exchanges. </w:t>
      </w:r>
      <w:r w:rsidR="00E57140">
        <w:t>The University of Adelaide (UoA)</w:t>
      </w:r>
      <w:r w:rsidR="00E57140" w:rsidRPr="002E15DB">
        <w:t xml:space="preserve"> </w:t>
      </w:r>
      <w:r w:rsidR="002E15DB" w:rsidRPr="002E15DB">
        <w:t xml:space="preserve">and </w:t>
      </w:r>
      <w:r w:rsidR="00E57140">
        <w:t>the University of Nottingham (</w:t>
      </w:r>
      <w:r w:rsidR="00F90E91">
        <w:t>UoN</w:t>
      </w:r>
      <w:r w:rsidR="00E57140">
        <w:t>)</w:t>
      </w:r>
      <w:r w:rsidR="002E15DB" w:rsidRPr="002E15DB">
        <w:t xml:space="preserve"> are now accepting proposals </w:t>
      </w:r>
      <w:r w:rsidR="005E74C8">
        <w:t xml:space="preserve">for funding </w:t>
      </w:r>
      <w:r w:rsidR="002E15DB" w:rsidRPr="002E15DB">
        <w:t>for the development of collaboration</w:t>
      </w:r>
      <w:r w:rsidR="00F90E91">
        <w:t xml:space="preserve">s in </w:t>
      </w:r>
      <w:r w:rsidR="00E57140">
        <w:t xml:space="preserve">the identified key priority </w:t>
      </w:r>
      <w:r w:rsidR="00F90E91">
        <w:t>research areas:</w:t>
      </w:r>
    </w:p>
    <w:p w14:paraId="758AEC80" w14:textId="77777777" w:rsidR="00540D3F" w:rsidRDefault="00540D3F" w:rsidP="00287E72">
      <w:pPr>
        <w:numPr>
          <w:ilvl w:val="0"/>
          <w:numId w:val="19"/>
        </w:numPr>
        <w:spacing w:before="240"/>
        <w:ind w:left="360"/>
      </w:pPr>
      <w:r>
        <w:t>Global Food Systems</w:t>
      </w:r>
    </w:p>
    <w:p w14:paraId="4ADCAD28" w14:textId="7D3BADE4" w:rsidR="00F90E91" w:rsidRDefault="00F90E91" w:rsidP="00FD598E">
      <w:pPr>
        <w:numPr>
          <w:ilvl w:val="0"/>
          <w:numId w:val="19"/>
        </w:numPr>
        <w:ind w:left="360"/>
      </w:pPr>
      <w:r>
        <w:t>Intelligent Health</w:t>
      </w:r>
    </w:p>
    <w:p w14:paraId="28C8666E" w14:textId="3844C14F" w:rsidR="00F90E91" w:rsidRDefault="00FD598E" w:rsidP="00FD598E">
      <w:pPr>
        <w:numPr>
          <w:ilvl w:val="0"/>
          <w:numId w:val="19"/>
        </w:numPr>
        <w:ind w:left="360"/>
      </w:pPr>
      <w:r>
        <w:t>Sustainable Futures</w:t>
      </w:r>
    </w:p>
    <w:p w14:paraId="2451AA4C" w14:textId="77777777" w:rsidR="00F47A97" w:rsidRDefault="00F47A97" w:rsidP="005E1F8C">
      <w:pPr>
        <w:pStyle w:val="Heading2"/>
      </w:pPr>
      <w:r>
        <w:t>Funding available</w:t>
      </w:r>
    </w:p>
    <w:p w14:paraId="5114AECF" w14:textId="6E556FB5" w:rsidR="005E1F8C" w:rsidRDefault="00893623" w:rsidP="005E1F8C">
      <w:r>
        <w:t xml:space="preserve">Grants of between </w:t>
      </w:r>
      <w:r w:rsidR="00651FFD">
        <w:t>A$10,000 and A$20,000 / £</w:t>
      </w:r>
      <w:r w:rsidR="00285864">
        <w:t>5,500 and £</w:t>
      </w:r>
      <w:r w:rsidR="00504290">
        <w:t>11,000</w:t>
      </w:r>
      <w:r w:rsidR="00786DAE">
        <w:t xml:space="preserve"> are available per </w:t>
      </w:r>
      <w:r w:rsidR="000E2DF3">
        <w:t>application</w:t>
      </w:r>
      <w:r w:rsidR="00786DAE">
        <w:t xml:space="preserve">, with a total of A$100,000 / </w:t>
      </w:r>
      <w:r w:rsidR="009A7485">
        <w:t>£55,000 available</w:t>
      </w:r>
      <w:r w:rsidR="001544E3">
        <w:t xml:space="preserve"> for 2023</w:t>
      </w:r>
      <w:r w:rsidR="0090148E">
        <w:t xml:space="preserve"> (approximately 3-5 grants per institution).</w:t>
      </w:r>
    </w:p>
    <w:p w14:paraId="2AE67226" w14:textId="6A73F02A" w:rsidR="00F47A97" w:rsidRDefault="00F47A97" w:rsidP="005E1F8C">
      <w:pPr>
        <w:pStyle w:val="Heading2"/>
      </w:pPr>
      <w:r>
        <w:t>Schedule</w:t>
      </w:r>
    </w:p>
    <w:p w14:paraId="7D73185D" w14:textId="57EE626F" w:rsidR="00867B9A" w:rsidRPr="00D43A62" w:rsidRDefault="00867B9A" w:rsidP="00AA172C">
      <w:r>
        <w:t xml:space="preserve">The </w:t>
      </w:r>
      <w:r w:rsidR="001544E3">
        <w:t>Adelaide-Nottingham Alliance</w:t>
      </w:r>
      <w:r w:rsidR="008647E5" w:rsidRPr="008647E5">
        <w:t xml:space="preserve"> </w:t>
      </w:r>
      <w:r w:rsidR="00817FB8">
        <w:t xml:space="preserve">Partnership </w:t>
      </w:r>
      <w:r w:rsidR="008647E5" w:rsidRPr="008647E5">
        <w:t>Seed Fund</w:t>
      </w:r>
      <w:r w:rsidR="008647E5">
        <w:t xml:space="preserve"> will open for applications </w:t>
      </w:r>
      <w:r w:rsidR="00D5592C">
        <w:t xml:space="preserve">at </w:t>
      </w:r>
      <w:r w:rsidR="00AA172C">
        <w:t>midnight</w:t>
      </w:r>
      <w:r w:rsidR="00D5592C">
        <w:t xml:space="preserve"> </w:t>
      </w:r>
      <w:r w:rsidR="00CC665B">
        <w:t>UK time</w:t>
      </w:r>
      <w:r w:rsidR="00406FE7" w:rsidRPr="00D43A62">
        <w:t xml:space="preserve"> </w:t>
      </w:r>
      <w:r w:rsidR="005B7DCE">
        <w:t xml:space="preserve">(GMT) </w:t>
      </w:r>
      <w:r w:rsidR="008647E5" w:rsidRPr="00D43A62">
        <w:t xml:space="preserve">on </w:t>
      </w:r>
      <w:r w:rsidR="00FA31E7">
        <w:rPr>
          <w:b/>
        </w:rPr>
        <w:t>Monday 20</w:t>
      </w:r>
      <w:r w:rsidR="00577141" w:rsidRPr="00D43A62">
        <w:rPr>
          <w:b/>
        </w:rPr>
        <w:t xml:space="preserve"> </w:t>
      </w:r>
      <w:r w:rsidR="00085F88" w:rsidRPr="00D43A62">
        <w:rPr>
          <w:b/>
        </w:rPr>
        <w:t>March 2023</w:t>
      </w:r>
      <w:r w:rsidR="00085F88" w:rsidRPr="00D43A62">
        <w:t xml:space="preserve"> and will close </w:t>
      </w:r>
      <w:r w:rsidR="00AA172C" w:rsidRPr="00D43A62">
        <w:t xml:space="preserve">at midnight </w:t>
      </w:r>
      <w:r w:rsidR="00CC665B">
        <w:t>UK time</w:t>
      </w:r>
      <w:r w:rsidR="00406FE7" w:rsidRPr="00D43A62">
        <w:t xml:space="preserve"> </w:t>
      </w:r>
      <w:r w:rsidR="00085F88" w:rsidRPr="00D43A62">
        <w:t xml:space="preserve">on </w:t>
      </w:r>
      <w:r w:rsidR="00577141" w:rsidRPr="00D43A62">
        <w:rPr>
          <w:b/>
        </w:rPr>
        <w:t>Monday 10 April</w:t>
      </w:r>
      <w:r w:rsidR="00085F88" w:rsidRPr="00D43A62">
        <w:rPr>
          <w:b/>
        </w:rPr>
        <w:t xml:space="preserve"> 2023</w:t>
      </w:r>
      <w:r w:rsidR="005B7DCE">
        <w:rPr>
          <w:b/>
        </w:rPr>
        <w:t xml:space="preserve"> </w:t>
      </w:r>
      <w:r w:rsidR="005B7DCE" w:rsidRPr="005B7DCE">
        <w:rPr>
          <w:bCs/>
        </w:rPr>
        <w:t>(BST)</w:t>
      </w:r>
      <w:r w:rsidR="00085F88" w:rsidRPr="005B7DCE">
        <w:rPr>
          <w:bCs/>
        </w:rPr>
        <w:t>.</w:t>
      </w:r>
      <w:r w:rsidR="00652498" w:rsidRPr="00D43A62">
        <w:t xml:space="preserve"> Complete applications must be received by the deadline. No extensions will be granted.</w:t>
      </w:r>
    </w:p>
    <w:p w14:paraId="323CF1E5" w14:textId="13D9AAFE" w:rsidR="003F6715" w:rsidRDefault="003F6715" w:rsidP="00287E72">
      <w:pPr>
        <w:spacing w:before="240"/>
      </w:pPr>
      <w:r w:rsidRPr="00D43A62">
        <w:t xml:space="preserve">The </w:t>
      </w:r>
      <w:r w:rsidR="001544E3" w:rsidRPr="00D43A62">
        <w:t>Alliance</w:t>
      </w:r>
      <w:r w:rsidRPr="00D43A62">
        <w:t xml:space="preserve"> Selection Committee will meet in </w:t>
      </w:r>
      <w:r w:rsidR="00817FB8" w:rsidRPr="00D43A62">
        <w:t xml:space="preserve">April </w:t>
      </w:r>
      <w:r w:rsidRPr="00D43A62">
        <w:t>2023, with results announced by</w:t>
      </w:r>
      <w:r w:rsidR="00E57140" w:rsidRPr="00D43A62">
        <w:t xml:space="preserve"> early May</w:t>
      </w:r>
      <w:r w:rsidRPr="00D43A62">
        <w:t xml:space="preserve"> 2023.</w:t>
      </w:r>
    </w:p>
    <w:p w14:paraId="5429AA41" w14:textId="2E0C1B30" w:rsidR="00085F88" w:rsidRDefault="00085F88" w:rsidP="00085F88">
      <w:pPr>
        <w:spacing w:before="240"/>
      </w:pPr>
      <w:r>
        <w:t>Funded projects must be completed within one year of the commencement date</w:t>
      </w:r>
      <w:r w:rsidR="00E20F56">
        <w:t xml:space="preserve"> (date acceptance agreement signed)</w:t>
      </w:r>
      <w:r>
        <w:t>.</w:t>
      </w:r>
    </w:p>
    <w:p w14:paraId="217BBB1C" w14:textId="1BC6471B" w:rsidR="004A4A59" w:rsidRDefault="004A4A59" w:rsidP="004A4A59">
      <w:pPr>
        <w:spacing w:before="120"/>
      </w:pPr>
      <w:r>
        <w:t>It is recommended that funded researchers connect with the theme leads several times over the funding period.</w:t>
      </w:r>
    </w:p>
    <w:p w14:paraId="7D07F36E" w14:textId="6AB3E6E0" w:rsidR="00565FD5" w:rsidRDefault="00565FD5" w:rsidP="00565FD5">
      <w:pPr>
        <w:pStyle w:val="Heading2"/>
      </w:pPr>
      <w:r>
        <w:lastRenderedPageBreak/>
        <w:t>Purpose and Description</w:t>
      </w:r>
    </w:p>
    <w:p w14:paraId="7B175249" w14:textId="4A1BCDCF" w:rsidR="004B23AE" w:rsidRDefault="004B23AE" w:rsidP="004B23AE">
      <w:r>
        <w:t xml:space="preserve">The </w:t>
      </w:r>
      <w:bookmarkStart w:id="1" w:name="_Hlk128472574"/>
      <w:r w:rsidR="001544E3">
        <w:t>Adelaide-Nottingham Alliance</w:t>
      </w:r>
      <w:r>
        <w:t xml:space="preserve"> </w:t>
      </w:r>
      <w:r w:rsidR="001544E3">
        <w:t>Partnership</w:t>
      </w:r>
      <w:r>
        <w:t xml:space="preserve"> Seed Fund </w:t>
      </w:r>
      <w:bookmarkEnd w:id="1"/>
      <w:r w:rsidR="00331E7C">
        <w:t>is</w:t>
      </w:r>
      <w:r>
        <w:t xml:space="preserve"> designed to spur new research collaborations, with the expectation that funded projects will lead to more substantive engagement</w:t>
      </w:r>
      <w:r w:rsidR="0025061E">
        <w:t xml:space="preserve"> between the two institutions</w:t>
      </w:r>
      <w:r>
        <w:t>.</w:t>
      </w:r>
    </w:p>
    <w:p w14:paraId="48BCA897" w14:textId="1DB46F42" w:rsidR="004B23AE" w:rsidRDefault="004B23AE" w:rsidP="00836359">
      <w:pPr>
        <w:spacing w:before="240"/>
      </w:pPr>
      <w:r>
        <w:t xml:space="preserve">The </w:t>
      </w:r>
      <w:r w:rsidR="001544E3">
        <w:t xml:space="preserve">Alliance Partnership </w:t>
      </w:r>
      <w:r w:rsidR="005D7550">
        <w:t>Seed Fund</w:t>
      </w:r>
      <w:r>
        <w:t xml:space="preserve"> intends to:</w:t>
      </w:r>
    </w:p>
    <w:p w14:paraId="089C7C41" w14:textId="2E1CE8F5" w:rsidR="004B23AE" w:rsidRDefault="005D7550" w:rsidP="00836359">
      <w:pPr>
        <w:numPr>
          <w:ilvl w:val="0"/>
          <w:numId w:val="20"/>
        </w:numPr>
      </w:pPr>
      <w:r>
        <w:t>F</w:t>
      </w:r>
      <w:r w:rsidR="004B23AE">
        <w:t xml:space="preserve">acilitate high </w:t>
      </w:r>
      <w:r w:rsidR="00483D69">
        <w:t>quality</w:t>
      </w:r>
      <w:r w:rsidR="004B23AE">
        <w:t xml:space="preserve"> and </w:t>
      </w:r>
      <w:r w:rsidR="00323AED">
        <w:t>long-term</w:t>
      </w:r>
      <w:r w:rsidR="004B23AE">
        <w:t xml:space="preserve"> collaboration between </w:t>
      </w:r>
      <w:proofErr w:type="spellStart"/>
      <w:r w:rsidR="00483D69">
        <w:t>UoA</w:t>
      </w:r>
      <w:proofErr w:type="spellEnd"/>
      <w:r w:rsidR="004B23AE">
        <w:t xml:space="preserve"> and </w:t>
      </w:r>
      <w:r w:rsidR="00836359">
        <w:t xml:space="preserve">UoN </w:t>
      </w:r>
      <w:r w:rsidR="004B23AE">
        <w:t>faculty</w:t>
      </w:r>
      <w:r w:rsidR="002A3EA0">
        <w:t xml:space="preserve"> </w:t>
      </w:r>
      <w:r w:rsidR="004B23AE">
        <w:t>/</w:t>
      </w:r>
      <w:r w:rsidR="002A3EA0">
        <w:t xml:space="preserve"> </w:t>
      </w:r>
      <w:r w:rsidR="004B23AE">
        <w:t xml:space="preserve">researchers in </w:t>
      </w:r>
      <w:r w:rsidR="00836359">
        <w:t xml:space="preserve">the three </w:t>
      </w:r>
      <w:r w:rsidR="004B23AE">
        <w:t>priority areas of strategic importance</w:t>
      </w:r>
      <w:r w:rsidR="00331E7C">
        <w:t xml:space="preserve"> as listed above and described below.</w:t>
      </w:r>
    </w:p>
    <w:p w14:paraId="4FED202D" w14:textId="77777777" w:rsidR="00140DB9" w:rsidRDefault="00140DB9" w:rsidP="00140DB9">
      <w:pPr>
        <w:numPr>
          <w:ilvl w:val="0"/>
          <w:numId w:val="20"/>
        </w:numPr>
      </w:pPr>
      <w:r>
        <w:t xml:space="preserve">Advance research partnerships and better position </w:t>
      </w:r>
      <w:proofErr w:type="spellStart"/>
      <w:r>
        <w:t>UoA</w:t>
      </w:r>
      <w:proofErr w:type="spellEnd"/>
      <w:r>
        <w:t xml:space="preserve"> and UoN faculty/researchers to achieve funding success.</w:t>
      </w:r>
      <w:r w:rsidRPr="00187796">
        <w:t xml:space="preserve"> </w:t>
      </w:r>
    </w:p>
    <w:p w14:paraId="76578374" w14:textId="75025D28" w:rsidR="004B23AE" w:rsidRDefault="005D7550" w:rsidP="00836359">
      <w:pPr>
        <w:numPr>
          <w:ilvl w:val="0"/>
          <w:numId w:val="20"/>
        </w:numPr>
      </w:pPr>
      <w:r>
        <w:t>R</w:t>
      </w:r>
      <w:r w:rsidR="004B23AE">
        <w:t>esult in the publication of high</w:t>
      </w:r>
      <w:r w:rsidR="00836359">
        <w:t>-</w:t>
      </w:r>
      <w:r w:rsidR="00483D69">
        <w:t>quality</w:t>
      </w:r>
      <w:r w:rsidR="004B23AE">
        <w:t xml:space="preserve"> </w:t>
      </w:r>
      <w:r w:rsidR="001D1F26">
        <w:t xml:space="preserve">outputs </w:t>
      </w:r>
      <w:r w:rsidR="00140DB9">
        <w:t xml:space="preserve">including </w:t>
      </w:r>
      <w:r w:rsidR="00AD2370">
        <w:t>international research training for graduate students and/or early career faculty, publication of joint papers from collaborative research, or follow-on joint research funding bids</w:t>
      </w:r>
      <w:r w:rsidR="00331E7C">
        <w:t>.</w:t>
      </w:r>
    </w:p>
    <w:p w14:paraId="744223C8" w14:textId="7F27AFF7" w:rsidR="001544E3" w:rsidRDefault="001544E3" w:rsidP="00836359">
      <w:pPr>
        <w:numPr>
          <w:ilvl w:val="0"/>
          <w:numId w:val="20"/>
        </w:numPr>
      </w:pPr>
      <w:r>
        <w:t>Identify additional collaborators to expand the Adelaide-Nottingham network</w:t>
      </w:r>
    </w:p>
    <w:p w14:paraId="3C69E7B7" w14:textId="0072D34F" w:rsidR="004B23AE" w:rsidRDefault="004B23AE" w:rsidP="00331E7C">
      <w:pPr>
        <w:pStyle w:val="Heading2"/>
      </w:pPr>
      <w:r>
        <w:t>Priority Areas</w:t>
      </w:r>
    </w:p>
    <w:p w14:paraId="3DC92978" w14:textId="77777777" w:rsidR="00721280" w:rsidRPr="00721280" w:rsidRDefault="00721280" w:rsidP="004A4A59">
      <w:pPr>
        <w:pStyle w:val="Heading3"/>
        <w:spacing w:before="0"/>
      </w:pPr>
      <w:r w:rsidRPr="00721280">
        <w:t>Global Food Systems</w:t>
      </w:r>
    </w:p>
    <w:p w14:paraId="2475D966" w14:textId="31B08F33" w:rsidR="00721280" w:rsidRDefault="00721280" w:rsidP="00721280">
      <w:pPr>
        <w:rPr>
          <w:bCs/>
        </w:rPr>
      </w:pPr>
      <w:r w:rsidRPr="00721280">
        <w:rPr>
          <w:bCs/>
        </w:rPr>
        <w:t>As the world’s population grows, it is more important than ever we take a multi-disciplinary approach to understanding and developing food production systems. Through our research in agriculture, food science, advanced technologies and data science, humanities and social sciences, Global Food Systems will contribute to the grand challenge of providing healthy food in a constantly changing environment.</w:t>
      </w:r>
    </w:p>
    <w:p w14:paraId="5C313DED" w14:textId="12CCF8BB" w:rsidR="00E76BA5" w:rsidRPr="00E76BA5" w:rsidRDefault="00E76BA5" w:rsidP="00E76BA5">
      <w:pPr>
        <w:spacing w:before="120" w:line="240" w:lineRule="auto"/>
      </w:pPr>
      <w:r>
        <w:rPr>
          <w:b/>
        </w:rPr>
        <w:t>Nottingham</w:t>
      </w:r>
      <w:r w:rsidRPr="00E76BA5">
        <w:rPr>
          <w:b/>
        </w:rPr>
        <w:t xml:space="preserve"> lead:</w:t>
      </w:r>
      <w:r w:rsidRPr="00E76BA5">
        <w:t xml:space="preserve"> </w:t>
      </w:r>
      <w:r>
        <w:tab/>
      </w:r>
      <w:hyperlink r:id="rId11" w:history="1">
        <w:r w:rsidRPr="00E76BA5">
          <w:rPr>
            <w:rStyle w:val="Hyperlink"/>
          </w:rPr>
          <w:t>Professor Ian Fisk</w:t>
        </w:r>
      </w:hyperlink>
      <w:r w:rsidRPr="00E76BA5">
        <w:t>, School of Biosciences</w:t>
      </w:r>
    </w:p>
    <w:p w14:paraId="5D7253D8" w14:textId="5C6ECDF6" w:rsidR="00E76BA5" w:rsidRPr="00E76BA5" w:rsidRDefault="00E76BA5" w:rsidP="00E76BA5">
      <w:pPr>
        <w:spacing w:before="120" w:line="240" w:lineRule="auto"/>
      </w:pPr>
      <w:r>
        <w:rPr>
          <w:b/>
          <w:bCs/>
        </w:rPr>
        <w:t>Adelaide</w:t>
      </w:r>
      <w:r w:rsidRPr="00E76BA5">
        <w:rPr>
          <w:b/>
          <w:bCs/>
        </w:rPr>
        <w:t xml:space="preserve"> lead: </w:t>
      </w:r>
      <w:r>
        <w:rPr>
          <w:b/>
          <w:bCs/>
        </w:rPr>
        <w:tab/>
      </w:r>
      <w:hyperlink r:id="rId12" w:history="1">
        <w:r w:rsidRPr="00E76BA5">
          <w:rPr>
            <w:rStyle w:val="Hyperlink"/>
          </w:rPr>
          <w:t>Associate Professor Chris Ford</w:t>
        </w:r>
      </w:hyperlink>
      <w:r w:rsidRPr="00E76BA5">
        <w:t>, School of Agriculture, Food and Wine</w:t>
      </w:r>
    </w:p>
    <w:p w14:paraId="2F737683" w14:textId="77777777" w:rsidR="0090148E" w:rsidRPr="00721280" w:rsidRDefault="0090148E" w:rsidP="0090148E">
      <w:pPr>
        <w:pStyle w:val="Heading3"/>
        <w:spacing w:before="240"/>
      </w:pPr>
      <w:r w:rsidRPr="00721280">
        <w:t xml:space="preserve">Intelligent Health </w:t>
      </w:r>
    </w:p>
    <w:p w14:paraId="7B964C77" w14:textId="77777777" w:rsidR="0090148E" w:rsidRDefault="0090148E" w:rsidP="0090148E">
      <w:pPr>
        <w:rPr>
          <w:bCs/>
        </w:rPr>
      </w:pPr>
      <w:r w:rsidRPr="00721280">
        <w:rPr>
          <w:bCs/>
        </w:rPr>
        <w:t>Innovative technologies and intelligent, data-driven social strategies will shape the future of healthcare. Our researchers explore how transformational biotechnologies and tools, better understanding of health systems and inclusive, evidence-informed socio-health policies will improve outcomes.  Our multi-disciplinary, intelligence-informed approach will help make health systems more agile, tailoring care for the needs of individual patients while improving wellbeing for communities at a national and global scale.</w:t>
      </w:r>
    </w:p>
    <w:p w14:paraId="50005901" w14:textId="77777777" w:rsidR="0090148E" w:rsidRPr="00E76BA5" w:rsidRDefault="0090148E" w:rsidP="0090148E">
      <w:pPr>
        <w:spacing w:before="120" w:line="240" w:lineRule="auto"/>
      </w:pPr>
      <w:r>
        <w:rPr>
          <w:b/>
        </w:rPr>
        <w:t>Nottingham</w:t>
      </w:r>
      <w:r w:rsidRPr="00E76BA5">
        <w:rPr>
          <w:b/>
        </w:rPr>
        <w:t xml:space="preserve"> lead:</w:t>
      </w:r>
      <w:r w:rsidRPr="00E76BA5">
        <w:t xml:space="preserve"> </w:t>
      </w:r>
      <w:r>
        <w:tab/>
      </w:r>
      <w:hyperlink r:id="rId13" w:history="1">
        <w:r w:rsidRPr="00E76BA5">
          <w:rPr>
            <w:rStyle w:val="Hyperlink"/>
          </w:rPr>
          <w:t xml:space="preserve">Dr Sally </w:t>
        </w:r>
        <w:proofErr w:type="spellStart"/>
        <w:r w:rsidRPr="00E76BA5">
          <w:rPr>
            <w:rStyle w:val="Hyperlink"/>
          </w:rPr>
          <w:t>Eldeghaidy</w:t>
        </w:r>
        <w:proofErr w:type="spellEnd"/>
      </w:hyperlink>
      <w:r w:rsidRPr="00E76BA5">
        <w:t>, School of Biosciences</w:t>
      </w:r>
    </w:p>
    <w:p w14:paraId="38636B3B" w14:textId="77777777" w:rsidR="0090148E" w:rsidRPr="00E76BA5" w:rsidRDefault="0090148E" w:rsidP="0090148E">
      <w:pPr>
        <w:spacing w:before="120" w:line="240" w:lineRule="auto"/>
      </w:pPr>
      <w:r>
        <w:rPr>
          <w:b/>
          <w:bCs/>
        </w:rPr>
        <w:t>Adelaide</w:t>
      </w:r>
      <w:r w:rsidRPr="00E76BA5">
        <w:rPr>
          <w:b/>
          <w:bCs/>
        </w:rPr>
        <w:t xml:space="preserve"> lead: </w:t>
      </w:r>
      <w:r>
        <w:rPr>
          <w:b/>
          <w:bCs/>
        </w:rPr>
        <w:tab/>
      </w:r>
      <w:hyperlink r:id="rId14" w:history="1">
        <w:r w:rsidRPr="00E76BA5">
          <w:rPr>
            <w:rStyle w:val="Hyperlink"/>
            <w:bCs/>
          </w:rPr>
          <w:t xml:space="preserve">Professor </w:t>
        </w:r>
        <w:r w:rsidRPr="00E76BA5">
          <w:rPr>
            <w:rStyle w:val="Hyperlink"/>
          </w:rPr>
          <w:t>Amanda Page</w:t>
        </w:r>
      </w:hyperlink>
      <w:r w:rsidRPr="00E76BA5">
        <w:t>, School of Biomedicine</w:t>
      </w:r>
    </w:p>
    <w:p w14:paraId="5821D56D" w14:textId="77777777" w:rsidR="00721280" w:rsidRPr="00721280" w:rsidRDefault="00721280" w:rsidP="00721280">
      <w:pPr>
        <w:pStyle w:val="Heading3"/>
        <w:spacing w:before="240"/>
      </w:pPr>
      <w:r w:rsidRPr="00721280">
        <w:lastRenderedPageBreak/>
        <w:t xml:space="preserve">Sustainable Futures </w:t>
      </w:r>
    </w:p>
    <w:p w14:paraId="2505995B" w14:textId="77777777" w:rsidR="00721280" w:rsidRPr="00721280" w:rsidRDefault="00721280" w:rsidP="00721280">
      <w:pPr>
        <w:rPr>
          <w:bCs/>
        </w:rPr>
      </w:pPr>
      <w:r w:rsidRPr="00721280">
        <w:rPr>
          <w:bCs/>
        </w:rPr>
        <w:t>The world faces complex environmental, social and economic challenges. By working in partnership to deliver sustainable solutions, we will help societies in Australia, the UK and beyond to adapt and flourish. Sustainable Futures will explore:</w:t>
      </w:r>
    </w:p>
    <w:p w14:paraId="62D8FAF8" w14:textId="49C21D83" w:rsidR="00721280" w:rsidRPr="00721280" w:rsidRDefault="00721280" w:rsidP="00721280">
      <w:pPr>
        <w:numPr>
          <w:ilvl w:val="0"/>
          <w:numId w:val="34"/>
        </w:numPr>
        <w:rPr>
          <w:bCs/>
        </w:rPr>
      </w:pPr>
      <w:r w:rsidRPr="00721280">
        <w:rPr>
          <w:bCs/>
        </w:rPr>
        <w:t>planetary health and biodiversity</w:t>
      </w:r>
      <w:r w:rsidR="006940EA">
        <w:rPr>
          <w:bCs/>
        </w:rPr>
        <w:t xml:space="preserve"> restoration</w:t>
      </w:r>
    </w:p>
    <w:p w14:paraId="3920DDCD" w14:textId="705212B1" w:rsidR="00721280" w:rsidRPr="00721280" w:rsidRDefault="00721280" w:rsidP="00721280">
      <w:pPr>
        <w:numPr>
          <w:ilvl w:val="0"/>
          <w:numId w:val="34"/>
        </w:numPr>
        <w:rPr>
          <w:bCs/>
        </w:rPr>
      </w:pPr>
      <w:r w:rsidRPr="00721280">
        <w:rPr>
          <w:bCs/>
        </w:rPr>
        <w:t>sustainable production and consumption</w:t>
      </w:r>
      <w:r w:rsidR="006940EA">
        <w:rPr>
          <w:bCs/>
        </w:rPr>
        <w:t xml:space="preserve"> through clean technologies</w:t>
      </w:r>
    </w:p>
    <w:p w14:paraId="3CE9D5EB" w14:textId="36BA75FE" w:rsidR="00721280" w:rsidRPr="00721280" w:rsidRDefault="00721280" w:rsidP="00721280">
      <w:pPr>
        <w:numPr>
          <w:ilvl w:val="0"/>
          <w:numId w:val="34"/>
        </w:numPr>
        <w:rPr>
          <w:bCs/>
        </w:rPr>
      </w:pPr>
      <w:r w:rsidRPr="00721280">
        <w:rPr>
          <w:bCs/>
        </w:rPr>
        <w:t>resilient, healthy and sustainable communities</w:t>
      </w:r>
      <w:r w:rsidR="00F904CC">
        <w:rPr>
          <w:bCs/>
        </w:rPr>
        <w:t>, buildings and infrastructure</w:t>
      </w:r>
    </w:p>
    <w:p w14:paraId="7D3E068E" w14:textId="21E040C4" w:rsidR="00721280" w:rsidRDefault="00721280" w:rsidP="00721280">
      <w:pPr>
        <w:numPr>
          <w:ilvl w:val="0"/>
          <w:numId w:val="34"/>
        </w:numPr>
        <w:rPr>
          <w:bCs/>
        </w:rPr>
      </w:pPr>
      <w:r w:rsidRPr="00721280">
        <w:rPr>
          <w:bCs/>
        </w:rPr>
        <w:t xml:space="preserve">sustainable governance and decision-making </w:t>
      </w:r>
    </w:p>
    <w:p w14:paraId="4DBAE984" w14:textId="727C4CCB" w:rsidR="00E76BA5" w:rsidRPr="00E76BA5" w:rsidRDefault="00E76BA5" w:rsidP="00E76BA5">
      <w:pPr>
        <w:spacing w:before="120" w:line="240" w:lineRule="auto"/>
      </w:pPr>
      <w:r w:rsidRPr="00E76BA5">
        <w:rPr>
          <w:b/>
        </w:rPr>
        <w:t>Nottingham lead:</w:t>
      </w:r>
      <w:r w:rsidRPr="00E76BA5">
        <w:t xml:space="preserve"> </w:t>
      </w:r>
      <w:r>
        <w:tab/>
      </w:r>
      <w:hyperlink r:id="rId15" w:history="1">
        <w:r w:rsidRPr="00E76BA5">
          <w:rPr>
            <w:rStyle w:val="Hyperlink"/>
          </w:rPr>
          <w:t>Dr Eleanor Binner</w:t>
        </w:r>
      </w:hyperlink>
      <w:r w:rsidRPr="00E76BA5">
        <w:t>, Department of Chemical and Environmental Engineering</w:t>
      </w:r>
    </w:p>
    <w:p w14:paraId="33217659" w14:textId="03D739C5" w:rsidR="00E76BA5" w:rsidRPr="00E76BA5" w:rsidRDefault="00E76BA5" w:rsidP="00E76BA5">
      <w:pPr>
        <w:spacing w:before="120" w:line="240" w:lineRule="auto"/>
      </w:pPr>
      <w:r w:rsidRPr="00E76BA5">
        <w:rPr>
          <w:b/>
          <w:bCs/>
        </w:rPr>
        <w:t xml:space="preserve">Adelaide lead: </w:t>
      </w:r>
      <w:r w:rsidRPr="00E76BA5">
        <w:rPr>
          <w:b/>
          <w:bCs/>
        </w:rPr>
        <w:tab/>
      </w:r>
      <w:hyperlink r:id="rId16" w:history="1">
        <w:r w:rsidRPr="00E76BA5">
          <w:rPr>
            <w:rStyle w:val="Hyperlink"/>
            <w:bCs/>
          </w:rPr>
          <w:t>Professor</w:t>
        </w:r>
        <w:r w:rsidRPr="00E76BA5">
          <w:rPr>
            <w:rStyle w:val="Hyperlink"/>
            <w:b/>
          </w:rPr>
          <w:t xml:space="preserve"> </w:t>
        </w:r>
        <w:r w:rsidRPr="00E76BA5">
          <w:rPr>
            <w:rStyle w:val="Hyperlink"/>
          </w:rPr>
          <w:t>Veronica Soebarto</w:t>
        </w:r>
      </w:hyperlink>
      <w:r w:rsidRPr="00E76BA5">
        <w:rPr>
          <w:bCs/>
        </w:rPr>
        <w:t>,</w:t>
      </w:r>
      <w:r w:rsidRPr="00E76BA5">
        <w:t xml:space="preserve"> School of Architecture and Civil Engineering</w:t>
      </w:r>
    </w:p>
    <w:p w14:paraId="6B88D422" w14:textId="182943C7" w:rsidR="003F6715" w:rsidRDefault="006559AA" w:rsidP="00024646">
      <w:pPr>
        <w:pStyle w:val="Heading2"/>
      </w:pPr>
      <w:r>
        <w:t xml:space="preserve">Funding </w:t>
      </w:r>
    </w:p>
    <w:p w14:paraId="5DEC20A2" w14:textId="2361B4F7" w:rsidR="0090148E" w:rsidRDefault="00485073" w:rsidP="00652498">
      <w:r>
        <w:t xml:space="preserve">Grants of between A$10,000 and A$20,000 / £5,500 and £11,000 are available per project and will be </w:t>
      </w:r>
      <w:r w:rsidR="00A81815">
        <w:t xml:space="preserve">made available to lead investigators via their respective institutions </w:t>
      </w:r>
      <w:r w:rsidR="00E57140">
        <w:t>after the announcement</w:t>
      </w:r>
      <w:r w:rsidR="00A81815">
        <w:t>.</w:t>
      </w:r>
      <w:r w:rsidR="00E20F56">
        <w:t xml:space="preserve"> </w:t>
      </w:r>
      <w:r w:rsidR="00A81815">
        <w:t xml:space="preserve">Planned expenditures should be in line with the financial policies of the funding </w:t>
      </w:r>
      <w:r>
        <w:t>institution</w:t>
      </w:r>
      <w:r w:rsidR="00E57140">
        <w:t>s</w:t>
      </w:r>
      <w:r>
        <w:t>.</w:t>
      </w:r>
      <w:r w:rsidR="00E20F56">
        <w:t xml:space="preserve"> </w:t>
      </w:r>
      <w:r w:rsidR="0098202B">
        <w:t>Proposals that include opportunities for the exchange of post-graduate and PhD students are encouraged.</w:t>
      </w:r>
    </w:p>
    <w:p w14:paraId="5021B539" w14:textId="7E2EA13A" w:rsidR="00E57140" w:rsidRDefault="0098202B" w:rsidP="0090148E">
      <w:pPr>
        <w:pStyle w:val="Heading3"/>
        <w:spacing w:before="240"/>
      </w:pPr>
      <w:r>
        <w:t>Allowable expenses</w:t>
      </w:r>
    </w:p>
    <w:p w14:paraId="2A1258B9" w14:textId="77777777" w:rsidR="0090148E" w:rsidRDefault="0090148E" w:rsidP="0090148E">
      <w:pPr>
        <w:numPr>
          <w:ilvl w:val="0"/>
          <w:numId w:val="37"/>
        </w:numPr>
      </w:pPr>
      <w:r>
        <w:t>Travel, accommodation, and subsistence</w:t>
      </w:r>
    </w:p>
    <w:p w14:paraId="1CE280A2" w14:textId="77777777" w:rsidR="0090148E" w:rsidRPr="00C24641" w:rsidRDefault="0090148E" w:rsidP="0090148E">
      <w:pPr>
        <w:numPr>
          <w:ilvl w:val="0"/>
          <w:numId w:val="37"/>
        </w:numPr>
      </w:pPr>
      <w:r w:rsidRPr="00C24641">
        <w:t>Workshops, guest lectures, and seminars on multidisciplinary research areas</w:t>
      </w:r>
    </w:p>
    <w:p w14:paraId="386D8F02" w14:textId="77777777" w:rsidR="0090148E" w:rsidRPr="00C24641" w:rsidRDefault="0090148E" w:rsidP="0090148E">
      <w:pPr>
        <w:numPr>
          <w:ilvl w:val="0"/>
          <w:numId w:val="37"/>
        </w:numPr>
      </w:pPr>
      <w:r w:rsidRPr="00C24641">
        <w:t>Video-conference seminars</w:t>
      </w:r>
    </w:p>
    <w:p w14:paraId="5E14167E" w14:textId="77777777" w:rsidR="0090148E" w:rsidRPr="00C24641" w:rsidRDefault="0090148E" w:rsidP="0090148E">
      <w:pPr>
        <w:numPr>
          <w:ilvl w:val="0"/>
          <w:numId w:val="37"/>
        </w:numPr>
      </w:pPr>
      <w:r w:rsidRPr="00C24641">
        <w:t>Development of joint industry-research collaborations with global impact</w:t>
      </w:r>
    </w:p>
    <w:p w14:paraId="43AFC6A6" w14:textId="77777777" w:rsidR="0090148E" w:rsidRPr="00C24641" w:rsidRDefault="0090148E" w:rsidP="0090148E">
      <w:pPr>
        <w:numPr>
          <w:ilvl w:val="0"/>
          <w:numId w:val="37"/>
        </w:numPr>
      </w:pPr>
      <w:r w:rsidRPr="00C24641">
        <w:t>Delivery of joint publications or other scholarly output</w:t>
      </w:r>
    </w:p>
    <w:p w14:paraId="4964B734" w14:textId="77777777" w:rsidR="0090148E" w:rsidRPr="00C24641" w:rsidRDefault="0090148E" w:rsidP="0090148E">
      <w:pPr>
        <w:numPr>
          <w:ilvl w:val="0"/>
          <w:numId w:val="37"/>
        </w:numPr>
      </w:pPr>
      <w:r w:rsidRPr="00C24641">
        <w:t>Collection of preliminary data to strengthen a full proposal to an external funding agency</w:t>
      </w:r>
    </w:p>
    <w:p w14:paraId="058CE2EB" w14:textId="77777777" w:rsidR="0090148E" w:rsidRDefault="0090148E" w:rsidP="00BE7502">
      <w:pPr>
        <w:numPr>
          <w:ilvl w:val="0"/>
          <w:numId w:val="25"/>
        </w:numPr>
      </w:pPr>
      <w:r w:rsidRPr="00C24641">
        <w:t>Creation and support of joint resources such as websites, research collaboration sites, or other social networking tools to facilitate the dissemination of results</w:t>
      </w:r>
    </w:p>
    <w:p w14:paraId="39128903" w14:textId="05E38C60" w:rsidR="00E57140" w:rsidRDefault="00E57140" w:rsidP="00BE7502">
      <w:pPr>
        <w:numPr>
          <w:ilvl w:val="0"/>
          <w:numId w:val="25"/>
        </w:numPr>
      </w:pPr>
      <w:r>
        <w:t>S</w:t>
      </w:r>
      <w:r w:rsidR="00067F18">
        <w:t>upport ad-hoc/short term research assistant costs</w:t>
      </w:r>
      <w:r w:rsidR="00A81815">
        <w:t xml:space="preserve">. </w:t>
      </w:r>
    </w:p>
    <w:p w14:paraId="681FDB3A" w14:textId="02E976B2" w:rsidR="0098202B" w:rsidRDefault="0098202B" w:rsidP="0090148E">
      <w:pPr>
        <w:pStyle w:val="Heading3"/>
        <w:spacing w:before="240"/>
      </w:pPr>
      <w:r>
        <w:t>Non-allowable expenses</w:t>
      </w:r>
    </w:p>
    <w:p w14:paraId="02E4F606" w14:textId="333DE982" w:rsidR="00E20F56" w:rsidRDefault="00E20F56" w:rsidP="00E20F56">
      <w:pPr>
        <w:numPr>
          <w:ilvl w:val="0"/>
          <w:numId w:val="25"/>
        </w:numPr>
      </w:pPr>
      <w:r>
        <w:t>Salary or salary supplementation of any kind</w:t>
      </w:r>
    </w:p>
    <w:p w14:paraId="6934005B" w14:textId="39C73060" w:rsidR="00E20F56" w:rsidRDefault="00E20F56" w:rsidP="00E20F56">
      <w:pPr>
        <w:numPr>
          <w:ilvl w:val="0"/>
          <w:numId w:val="25"/>
        </w:numPr>
      </w:pPr>
      <w:r>
        <w:t>Equipment</w:t>
      </w:r>
    </w:p>
    <w:p w14:paraId="057DB291" w14:textId="3A6441D2" w:rsidR="00E20F56" w:rsidRDefault="00E57140" w:rsidP="00E20F56">
      <w:pPr>
        <w:numPr>
          <w:ilvl w:val="0"/>
          <w:numId w:val="25"/>
        </w:numPr>
      </w:pPr>
      <w:r>
        <w:t>Funding for the use of a partner’s laboratory facilities</w:t>
      </w:r>
    </w:p>
    <w:p w14:paraId="15CB50B1" w14:textId="1B10807B" w:rsidR="00E20F56" w:rsidRDefault="00E20F56" w:rsidP="00E20F56">
      <w:pPr>
        <w:numPr>
          <w:ilvl w:val="0"/>
          <w:numId w:val="25"/>
        </w:numPr>
      </w:pPr>
      <w:r>
        <w:t>Indirect and overhead costs.</w:t>
      </w:r>
    </w:p>
    <w:p w14:paraId="6D856333" w14:textId="77777777" w:rsidR="00D9563A" w:rsidRDefault="00D9563A" w:rsidP="00D9563A">
      <w:pPr>
        <w:pStyle w:val="Heading2"/>
      </w:pPr>
      <w:r>
        <w:lastRenderedPageBreak/>
        <w:t>Eligibility</w:t>
      </w:r>
    </w:p>
    <w:p w14:paraId="7A44ACF6" w14:textId="0B29FD27" w:rsidR="00507573" w:rsidRDefault="00507573" w:rsidP="00D9563A">
      <w:pPr>
        <w:numPr>
          <w:ilvl w:val="0"/>
          <w:numId w:val="25"/>
        </w:numPr>
      </w:pPr>
      <w:r w:rsidRPr="00507573">
        <w:t xml:space="preserve">Applicants/PI’s must be academic staff or equivalent (at any stage of their careers) at either </w:t>
      </w:r>
      <w:proofErr w:type="spellStart"/>
      <w:r w:rsidRPr="00507573">
        <w:t>UoA</w:t>
      </w:r>
      <w:proofErr w:type="spellEnd"/>
      <w:r w:rsidRPr="00507573">
        <w:t xml:space="preserve"> or UoN, with the duration of employment sufficient to cover the applied funding period.</w:t>
      </w:r>
    </w:p>
    <w:p w14:paraId="152C79A7" w14:textId="59032A4F" w:rsidR="00EF4BB7" w:rsidRDefault="00EF4BB7" w:rsidP="00D9563A">
      <w:pPr>
        <w:numPr>
          <w:ilvl w:val="0"/>
          <w:numId w:val="25"/>
        </w:numPr>
      </w:pPr>
      <w:r>
        <w:t xml:space="preserve">Applications must include </w:t>
      </w:r>
      <w:r w:rsidR="00B96631">
        <w:t xml:space="preserve">at least one </w:t>
      </w:r>
      <w:r w:rsidR="00235092">
        <w:t>member of staff from each institution</w:t>
      </w:r>
    </w:p>
    <w:p w14:paraId="71AABE55" w14:textId="31C24CF8" w:rsidR="006E1327" w:rsidRDefault="006E1327" w:rsidP="00D9563A">
      <w:pPr>
        <w:numPr>
          <w:ilvl w:val="0"/>
          <w:numId w:val="25"/>
        </w:numPr>
      </w:pPr>
      <w:r>
        <w:t xml:space="preserve">Applications must be developed </w:t>
      </w:r>
      <w:r w:rsidR="00E46469">
        <w:t>in consultation with research theme leads (see above)</w:t>
      </w:r>
    </w:p>
    <w:p w14:paraId="3FD39C60" w14:textId="19D8954C" w:rsidR="00D9563A" w:rsidRDefault="00D9563A" w:rsidP="00D9563A">
      <w:pPr>
        <w:numPr>
          <w:ilvl w:val="0"/>
          <w:numId w:val="25"/>
        </w:numPr>
      </w:pPr>
      <w:r>
        <w:t xml:space="preserve">Additional external partners can be involved; </w:t>
      </w:r>
      <w:r w:rsidR="002A3EA0">
        <w:t xml:space="preserve">industry partners are encouraged; </w:t>
      </w:r>
      <w:r>
        <w:t xml:space="preserve">however, a strong argument </w:t>
      </w:r>
      <w:r w:rsidR="00507573">
        <w:t xml:space="preserve">should be made if an external University is participating and their contribution exceeds </w:t>
      </w:r>
      <w:r>
        <w:t>20%</w:t>
      </w:r>
      <w:r w:rsidR="002B2810">
        <w:t xml:space="preserve"> (no limits for industry partners)</w:t>
      </w:r>
      <w:r w:rsidR="00507573">
        <w:t xml:space="preserve">, as the focus is the collaboration between </w:t>
      </w:r>
      <w:proofErr w:type="spellStart"/>
      <w:r w:rsidR="00507573">
        <w:t>UoA</w:t>
      </w:r>
      <w:proofErr w:type="spellEnd"/>
      <w:r w:rsidR="00507573">
        <w:t xml:space="preserve"> and UoN.</w:t>
      </w:r>
    </w:p>
    <w:p w14:paraId="62114F56" w14:textId="69C70CEF" w:rsidR="00D9563A" w:rsidRDefault="00D9563A" w:rsidP="00D9563A">
      <w:pPr>
        <w:numPr>
          <w:ilvl w:val="0"/>
          <w:numId w:val="25"/>
        </w:numPr>
      </w:pPr>
      <w:r>
        <w:t xml:space="preserve">Projects incorporating Early Career Researchers (ECRs) or </w:t>
      </w:r>
      <w:r w:rsidR="00483D69">
        <w:t>postgraduate</w:t>
      </w:r>
      <w:r w:rsidR="00507573">
        <w:t xml:space="preserve"> research </w:t>
      </w:r>
      <w:r>
        <w:t>students are</w:t>
      </w:r>
      <w:r w:rsidR="0323A4E0">
        <w:t xml:space="preserve"> strongly</w:t>
      </w:r>
      <w:r>
        <w:t xml:space="preserve"> encouraged</w:t>
      </w:r>
    </w:p>
    <w:p w14:paraId="6C665E44" w14:textId="38780563" w:rsidR="00A341D2" w:rsidRPr="00D9563A" w:rsidRDefault="00A341D2" w:rsidP="00A341D2">
      <w:pPr>
        <w:pStyle w:val="Heading2"/>
      </w:pPr>
      <w:r>
        <w:t>Selection Criteria</w:t>
      </w:r>
    </w:p>
    <w:p w14:paraId="5C7E9FE4" w14:textId="521E8008" w:rsidR="00070974" w:rsidRDefault="00070974" w:rsidP="00070974">
      <w:r>
        <w:t xml:space="preserve">Proposals that meet the stated eligibility requirements will initially be </w:t>
      </w:r>
      <w:r w:rsidR="00483D69">
        <w:t>evaluated</w:t>
      </w:r>
      <w:r>
        <w:t xml:space="preserve"> by review panels at both universities</w:t>
      </w:r>
      <w:r w:rsidR="00681DF4">
        <w:t>. The Adelaide-Nottingham Alliance</w:t>
      </w:r>
      <w:r w:rsidR="00DD672B">
        <w:t xml:space="preserve"> Joint </w:t>
      </w:r>
      <w:r w:rsidR="00681DF4">
        <w:t>Executive Committee</w:t>
      </w:r>
      <w:r w:rsidR="00C2051F">
        <w:t xml:space="preserve"> (</w:t>
      </w:r>
      <w:r w:rsidR="001544E3">
        <w:t xml:space="preserve">the Alliance </w:t>
      </w:r>
      <w:r w:rsidR="00C2051F">
        <w:t xml:space="preserve">JEC) </w:t>
      </w:r>
      <w:r>
        <w:t>will make the final decision for awards.</w:t>
      </w:r>
    </w:p>
    <w:p w14:paraId="127A0DCE" w14:textId="00C8E678" w:rsidR="00A341D2" w:rsidRDefault="00070974" w:rsidP="00070974">
      <w:pPr>
        <w:spacing w:before="240"/>
      </w:pPr>
      <w:r>
        <w:t>The criteria for consideration will involve the extent to which each proposal:</w:t>
      </w:r>
    </w:p>
    <w:p w14:paraId="0965D317" w14:textId="77777777" w:rsidR="00681DF4" w:rsidRDefault="00681DF4" w:rsidP="002B2810">
      <w:pPr>
        <w:numPr>
          <w:ilvl w:val="0"/>
          <w:numId w:val="33"/>
        </w:numPr>
      </w:pPr>
      <w:r>
        <w:t>Seeks to address a research problem of global importance within one of the three themes</w:t>
      </w:r>
    </w:p>
    <w:p w14:paraId="5F6F5D26" w14:textId="401E2133" w:rsidR="00681DF4" w:rsidRDefault="00681DF4" w:rsidP="002B2810">
      <w:pPr>
        <w:numPr>
          <w:ilvl w:val="0"/>
          <w:numId w:val="33"/>
        </w:numPr>
      </w:pPr>
      <w:r>
        <w:t>Explains how the project activities align with the goals of the Adelaide-Nottingham Alliance</w:t>
      </w:r>
    </w:p>
    <w:p w14:paraId="6BF9B16D" w14:textId="77777777" w:rsidR="00721280" w:rsidRDefault="00721280" w:rsidP="00721280">
      <w:pPr>
        <w:pStyle w:val="ListParagraph"/>
        <w:numPr>
          <w:ilvl w:val="0"/>
          <w:numId w:val="33"/>
        </w:numPr>
      </w:pPr>
      <w:r w:rsidRPr="00721280">
        <w:t>Brings together, or builds on pre-existing research collaborations with, complementary expertise from the two institutions</w:t>
      </w:r>
    </w:p>
    <w:p w14:paraId="015BB704" w14:textId="6C251907" w:rsidR="002B2810" w:rsidRDefault="002B2810" w:rsidP="002B2810">
      <w:pPr>
        <w:numPr>
          <w:ilvl w:val="0"/>
          <w:numId w:val="33"/>
        </w:numPr>
      </w:pPr>
      <w:r>
        <w:t>Has a clear plan for implementation</w:t>
      </w:r>
      <w:r w:rsidR="00507573">
        <w:t xml:space="preserve"> within and beyond the grant </w:t>
      </w:r>
      <w:proofErr w:type="gramStart"/>
      <w:r w:rsidR="00507573">
        <w:t>period</w:t>
      </w:r>
      <w:proofErr w:type="gramEnd"/>
    </w:p>
    <w:p w14:paraId="7D451192" w14:textId="77777777" w:rsidR="002B2810" w:rsidRDefault="002B2810" w:rsidP="002B2810">
      <w:pPr>
        <w:numPr>
          <w:ilvl w:val="0"/>
          <w:numId w:val="33"/>
        </w:numPr>
      </w:pPr>
      <w:r>
        <w:t>Articulates clear and measurable objectives and focus on the achievement of concrete outcomes and results, including:</w:t>
      </w:r>
    </w:p>
    <w:p w14:paraId="5DC0191B" w14:textId="5EE1C919" w:rsidR="002B2810" w:rsidRDefault="002B2810" w:rsidP="002B2810">
      <w:pPr>
        <w:numPr>
          <w:ilvl w:val="1"/>
          <w:numId w:val="33"/>
        </w:numPr>
      </w:pPr>
      <w:r>
        <w:t>high impact publications</w:t>
      </w:r>
    </w:p>
    <w:p w14:paraId="16ECA5B7" w14:textId="429348BD" w:rsidR="00507573" w:rsidRDefault="00507573" w:rsidP="002B2810">
      <w:pPr>
        <w:numPr>
          <w:ilvl w:val="1"/>
          <w:numId w:val="33"/>
        </w:numPr>
      </w:pPr>
      <w:r w:rsidRPr="00507573">
        <w:t>collaborative application for external research funding</w:t>
      </w:r>
    </w:p>
    <w:p w14:paraId="2D8FFF72" w14:textId="77777777" w:rsidR="002B2810" w:rsidRDefault="002B2810" w:rsidP="002B2810">
      <w:pPr>
        <w:numPr>
          <w:ilvl w:val="1"/>
          <w:numId w:val="33"/>
        </w:numPr>
      </w:pPr>
      <w:r>
        <w:t>student and staff exchange for training and research</w:t>
      </w:r>
    </w:p>
    <w:p w14:paraId="4E5566ED" w14:textId="08477BB4" w:rsidR="00681DF4" w:rsidRDefault="00681DF4" w:rsidP="002B2810">
      <w:pPr>
        <w:numPr>
          <w:ilvl w:val="0"/>
          <w:numId w:val="33"/>
        </w:numPr>
      </w:pPr>
      <w:r>
        <w:t>Describes the plan for sustaining the collaboration beyond the grant period, including</w:t>
      </w:r>
      <w:r w:rsidR="004B3B04">
        <w:t>:</w:t>
      </w:r>
    </w:p>
    <w:p w14:paraId="3D5A700F" w14:textId="0139ACB3" w:rsidR="00681DF4" w:rsidRDefault="00681DF4" w:rsidP="002B2810">
      <w:pPr>
        <w:numPr>
          <w:ilvl w:val="1"/>
          <w:numId w:val="33"/>
        </w:numPr>
      </w:pPr>
      <w:r>
        <w:t>applications for and award of external funding, including grants and fellowships</w:t>
      </w:r>
    </w:p>
    <w:p w14:paraId="5189C0BF" w14:textId="327BF95E" w:rsidR="00681DF4" w:rsidRDefault="00681DF4" w:rsidP="002B2810">
      <w:pPr>
        <w:numPr>
          <w:ilvl w:val="1"/>
          <w:numId w:val="33"/>
        </w:numPr>
      </w:pPr>
      <w:r>
        <w:t>industry engagement and contracts</w:t>
      </w:r>
    </w:p>
    <w:p w14:paraId="2CB43C4D" w14:textId="7993F41A" w:rsidR="00681DF4" w:rsidRDefault="00681DF4" w:rsidP="002B2810">
      <w:pPr>
        <w:numPr>
          <w:ilvl w:val="1"/>
          <w:numId w:val="33"/>
        </w:numPr>
      </w:pPr>
      <w:r>
        <w:t xml:space="preserve">“higher degree by research” </w:t>
      </w:r>
      <w:r w:rsidR="00483D69">
        <w:t>graduate</w:t>
      </w:r>
      <w:r>
        <w:t xml:space="preserve"> student recruitment</w:t>
      </w:r>
    </w:p>
    <w:p w14:paraId="197A1271" w14:textId="78587B94" w:rsidR="00681DF4" w:rsidRDefault="00681DF4" w:rsidP="002B2810">
      <w:pPr>
        <w:numPr>
          <w:ilvl w:val="1"/>
          <w:numId w:val="33"/>
        </w:numPr>
      </w:pPr>
      <w:r>
        <w:t>post-doctoral fellow recruitment</w:t>
      </w:r>
    </w:p>
    <w:p w14:paraId="550F99A5" w14:textId="38C8CEFE" w:rsidR="00AB4396" w:rsidRDefault="00681DF4" w:rsidP="002B2810">
      <w:pPr>
        <w:numPr>
          <w:ilvl w:val="0"/>
          <w:numId w:val="33"/>
        </w:numPr>
      </w:pPr>
      <w:r>
        <w:t>Has a clearly articulated and justified budget</w:t>
      </w:r>
      <w:r w:rsidR="002B2810" w:rsidRPr="002B2810">
        <w:t xml:space="preserve"> </w:t>
      </w:r>
    </w:p>
    <w:p w14:paraId="3A73154C" w14:textId="6F7054E6" w:rsidR="00024646" w:rsidRDefault="00024646" w:rsidP="00652498">
      <w:pPr>
        <w:pStyle w:val="Heading2"/>
      </w:pPr>
      <w:r>
        <w:lastRenderedPageBreak/>
        <w:t>Application Process</w:t>
      </w:r>
    </w:p>
    <w:p w14:paraId="1CD3BEB6" w14:textId="79494628" w:rsidR="002E173F" w:rsidRDefault="000A3052" w:rsidP="00E20F56">
      <w:pPr>
        <w:spacing w:before="240"/>
      </w:pPr>
      <w:r>
        <w:t>Applicants</w:t>
      </w:r>
      <w:r w:rsidR="00721280">
        <w:t xml:space="preserve"> should liaise with the relevant theme lead at their institution.</w:t>
      </w:r>
      <w:r w:rsidR="000941D3">
        <w:t xml:space="preserve"> </w:t>
      </w:r>
      <w:r w:rsidR="00721280">
        <w:t>Applicants</w:t>
      </w:r>
      <w:r>
        <w:t xml:space="preserve"> must complete and submit the application form</w:t>
      </w:r>
      <w:r w:rsidR="008E2AD8">
        <w:t xml:space="preserve">, which can be downloaded </w:t>
      </w:r>
      <w:r w:rsidR="00652B4F">
        <w:t xml:space="preserve">from UoN </w:t>
      </w:r>
      <w:hyperlink r:id="rId17" w:history="1">
        <w:r w:rsidR="008E2AD8" w:rsidRPr="00F33BF7">
          <w:rPr>
            <w:rStyle w:val="Hyperlink"/>
          </w:rPr>
          <w:t>here</w:t>
        </w:r>
      </w:hyperlink>
      <w:r w:rsidR="008E2AD8">
        <w:t xml:space="preserve"> and </w:t>
      </w:r>
      <w:proofErr w:type="spellStart"/>
      <w:r w:rsidR="00652B4F">
        <w:t>UoA</w:t>
      </w:r>
      <w:proofErr w:type="spellEnd"/>
      <w:r w:rsidR="00652B4F">
        <w:t xml:space="preserve"> </w:t>
      </w:r>
      <w:hyperlink r:id="rId18" w:history="1">
        <w:r w:rsidR="008E2AD8" w:rsidRPr="00652B4F">
          <w:rPr>
            <w:rStyle w:val="Hyperlink"/>
          </w:rPr>
          <w:t>here</w:t>
        </w:r>
      </w:hyperlink>
      <w:r w:rsidR="00652B4F">
        <w:t xml:space="preserve">, </w:t>
      </w:r>
      <w:r w:rsidR="008E2AD8">
        <w:t xml:space="preserve">with </w:t>
      </w:r>
      <w:r w:rsidR="0018155D">
        <w:t>any</w:t>
      </w:r>
      <w:r>
        <w:t xml:space="preserve"> supporting documents</w:t>
      </w:r>
      <w:r w:rsidR="0090148E">
        <w:t xml:space="preserve"> (CVs, lists of relevant publications etc)</w:t>
      </w:r>
      <w:r w:rsidR="00D93F88">
        <w:t>, to the email addresses listed below</w:t>
      </w:r>
      <w:r>
        <w:t xml:space="preserve">. </w:t>
      </w:r>
      <w:r w:rsidR="00E20F56">
        <w:t xml:space="preserve">Only one application is required from either lead applicant at </w:t>
      </w:r>
      <w:proofErr w:type="spellStart"/>
      <w:r w:rsidR="00E20F56">
        <w:t>UoA</w:t>
      </w:r>
      <w:proofErr w:type="spellEnd"/>
      <w:r w:rsidR="00E20F56">
        <w:t xml:space="preserve"> or UoN.</w:t>
      </w:r>
    </w:p>
    <w:p w14:paraId="20502985" w14:textId="586F49A8" w:rsidR="000A3052" w:rsidRDefault="002E173F" w:rsidP="000941D3">
      <w:pPr>
        <w:spacing w:before="240"/>
        <w:ind w:left="720"/>
      </w:pPr>
      <w:r>
        <w:t>University of Nottingham</w:t>
      </w:r>
      <w:r w:rsidR="0018155D">
        <w:t xml:space="preserve"> as lead applicant</w:t>
      </w:r>
      <w:r>
        <w:t xml:space="preserve">: </w:t>
      </w:r>
      <w:hyperlink r:id="rId19" w:history="1">
        <w:r w:rsidRPr="00B508CF">
          <w:rPr>
            <w:rStyle w:val="Hyperlink"/>
          </w:rPr>
          <w:t>uonglobal@nottingham.ac.uk</w:t>
        </w:r>
      </w:hyperlink>
      <w:r>
        <w:t xml:space="preserve"> </w:t>
      </w:r>
    </w:p>
    <w:p w14:paraId="335A6776" w14:textId="70A4AFC0" w:rsidR="00024646" w:rsidRDefault="0018155D" w:rsidP="000941D3">
      <w:pPr>
        <w:ind w:left="720"/>
      </w:pPr>
      <w:r>
        <w:t>U</w:t>
      </w:r>
      <w:r w:rsidR="000A3052">
        <w:t>niversity of Adelaide</w:t>
      </w:r>
      <w:r>
        <w:t xml:space="preserve"> as lead applicant</w:t>
      </w:r>
      <w:r w:rsidR="002E173F">
        <w:t xml:space="preserve">: </w:t>
      </w:r>
      <w:hyperlink r:id="rId20">
        <w:r w:rsidR="6137D553" w:rsidRPr="49060799">
          <w:rPr>
            <w:rStyle w:val="Hyperlink"/>
          </w:rPr>
          <w:t>globalengagement@adelaide.edu.au</w:t>
        </w:r>
      </w:hyperlink>
      <w:r w:rsidR="6137D553">
        <w:t xml:space="preserve"> </w:t>
      </w:r>
    </w:p>
    <w:p w14:paraId="062D36E7" w14:textId="283DF652" w:rsidR="00507573" w:rsidRDefault="00507573" w:rsidP="00507573">
      <w:pPr>
        <w:pStyle w:val="Heading3"/>
        <w:spacing w:before="240"/>
      </w:pPr>
      <w:r>
        <w:t>UoA PI only</w:t>
      </w:r>
    </w:p>
    <w:p w14:paraId="38C7D8D7" w14:textId="1E6823CF" w:rsidR="00507573" w:rsidRDefault="00507573" w:rsidP="00507573">
      <w:r w:rsidRPr="00507573">
        <w:t xml:space="preserve">Prior to the application, the primary PI at UoA will need to seek foreign compliance endorsement by completing a </w:t>
      </w:r>
      <w:hyperlink r:id="rId21" w:history="1">
        <w:r w:rsidRPr="00FA31E7">
          <w:rPr>
            <w:rStyle w:val="Hyperlink"/>
          </w:rPr>
          <w:t>Foreign Engagement Compliance Review (FECR) form</w:t>
        </w:r>
      </w:hyperlink>
      <w:r>
        <w:t>.</w:t>
      </w:r>
    </w:p>
    <w:p w14:paraId="1D25F0E4" w14:textId="49D3FC1B" w:rsidR="00E20F56" w:rsidRPr="00E20F56" w:rsidRDefault="00E20F56" w:rsidP="00E20F56">
      <w:pPr>
        <w:pStyle w:val="Heading2"/>
      </w:pPr>
      <w:r w:rsidRPr="00E20F56">
        <w:t>Application results</w:t>
      </w:r>
    </w:p>
    <w:p w14:paraId="19B43B7F" w14:textId="058969AA" w:rsidR="00E20F56" w:rsidRDefault="00E20F56" w:rsidP="00E20F56">
      <w:r w:rsidRPr="00E20F56">
        <w:rPr>
          <w:lang w:val="en-AU"/>
        </w:rPr>
        <w:t xml:space="preserve">Successful applicants will receive a letter of confirmation from their home institution and will receive an Acceptance letter that must be signed and returned by the due date to </w:t>
      </w:r>
      <w:r>
        <w:rPr>
          <w:lang w:val="en-AU"/>
        </w:rPr>
        <w:t xml:space="preserve">either </w:t>
      </w:r>
      <w:proofErr w:type="spellStart"/>
      <w:r>
        <w:rPr>
          <w:lang w:val="en-AU"/>
        </w:rPr>
        <w:t>UoA</w:t>
      </w:r>
      <w:proofErr w:type="spellEnd"/>
      <w:r>
        <w:rPr>
          <w:lang w:val="en-AU"/>
        </w:rPr>
        <w:t xml:space="preserve"> or UoN</w:t>
      </w:r>
      <w:r w:rsidRPr="00E20F56">
        <w:rPr>
          <w:lang w:val="en-AU"/>
        </w:rPr>
        <w:t>.</w:t>
      </w:r>
    </w:p>
    <w:p w14:paraId="395E021A" w14:textId="229DA0E4" w:rsidR="00F957E7" w:rsidRDefault="00F957E7" w:rsidP="00652498">
      <w:pPr>
        <w:pStyle w:val="Heading2"/>
      </w:pPr>
      <w:r>
        <w:t>Reporting</w:t>
      </w:r>
    </w:p>
    <w:p w14:paraId="668369FF" w14:textId="0747017B" w:rsidR="00F957E7" w:rsidRDefault="001544E3" w:rsidP="00652498">
      <w:r>
        <w:t>Recipients</w:t>
      </w:r>
      <w:r w:rsidR="00F957E7">
        <w:t xml:space="preserve"> are required to submit a final report </w:t>
      </w:r>
      <w:r w:rsidR="006C6503">
        <w:t>(</w:t>
      </w:r>
      <w:r w:rsidR="002A3EA0">
        <w:t>developed in consultation with the theme leads</w:t>
      </w:r>
      <w:r w:rsidR="006C6503">
        <w:t xml:space="preserve">) </w:t>
      </w:r>
      <w:r w:rsidR="00F957E7">
        <w:t>no later than one month after the end of th</w:t>
      </w:r>
      <w:r w:rsidR="00C2051F">
        <w:t>e funded project</w:t>
      </w:r>
      <w:r w:rsidR="00F957E7">
        <w:t>. The report should include:</w:t>
      </w:r>
    </w:p>
    <w:p w14:paraId="5A865193" w14:textId="3C58BD8C" w:rsidR="00F957E7" w:rsidRDefault="00F957E7" w:rsidP="00AB4DED">
      <w:pPr>
        <w:numPr>
          <w:ilvl w:val="0"/>
          <w:numId w:val="32"/>
        </w:numPr>
      </w:pPr>
      <w:r>
        <w:t>a brief summary of the activities undertaken</w:t>
      </w:r>
      <w:r w:rsidR="00F8036B">
        <w:t xml:space="preserve">, using the </w:t>
      </w:r>
      <w:r w:rsidR="00301238">
        <w:t xml:space="preserve">bullets </w:t>
      </w:r>
      <w:r w:rsidR="00F8036B">
        <w:t>under “Selection Criteria” in this document as a guide</w:t>
      </w:r>
    </w:p>
    <w:p w14:paraId="6DF44A7E" w14:textId="1C1B3285" w:rsidR="00F957E7" w:rsidRDefault="00F957E7" w:rsidP="00AB4DED">
      <w:pPr>
        <w:numPr>
          <w:ilvl w:val="0"/>
          <w:numId w:val="32"/>
        </w:numPr>
      </w:pPr>
      <w:r>
        <w:t xml:space="preserve">project outcomes and achievements, including key findings </w:t>
      </w:r>
      <w:r w:rsidR="00F8036B">
        <w:t xml:space="preserve">and </w:t>
      </w:r>
      <w:r>
        <w:t>a brief assessment by the lead researcher on the impact (positive and negative) on their research</w:t>
      </w:r>
    </w:p>
    <w:p w14:paraId="04652AEA" w14:textId="62DA36F8" w:rsidR="00AB4DED" w:rsidRDefault="00AB4DED" w:rsidP="00AB4DED">
      <w:pPr>
        <w:numPr>
          <w:ilvl w:val="0"/>
          <w:numId w:val="32"/>
        </w:numPr>
      </w:pPr>
      <w:r>
        <w:t>a list of confirmed or planned publications</w:t>
      </w:r>
    </w:p>
    <w:p w14:paraId="24571135" w14:textId="0FFB31BB" w:rsidR="00AB4DED" w:rsidRDefault="00F957E7" w:rsidP="00AB4DED">
      <w:pPr>
        <w:numPr>
          <w:ilvl w:val="0"/>
          <w:numId w:val="32"/>
        </w:numPr>
      </w:pPr>
      <w:proofErr w:type="gramStart"/>
      <w:r>
        <w:t>future plans</w:t>
      </w:r>
      <w:proofErr w:type="gramEnd"/>
      <w:r>
        <w:t xml:space="preserve"> and next steps</w:t>
      </w:r>
      <w:r w:rsidR="00F8036B">
        <w:t xml:space="preserve"> for the collaboration</w:t>
      </w:r>
    </w:p>
    <w:p w14:paraId="25090566" w14:textId="1838C90E" w:rsidR="00B636A6" w:rsidRDefault="00483D69" w:rsidP="00B636A6">
      <w:pPr>
        <w:numPr>
          <w:ilvl w:val="0"/>
          <w:numId w:val="32"/>
        </w:numPr>
      </w:pPr>
      <w:r>
        <w:t>actual</w:t>
      </w:r>
      <w:r w:rsidR="00F957E7">
        <w:t xml:space="preserve"> expenditure against the approved budget</w:t>
      </w:r>
    </w:p>
    <w:p w14:paraId="757E6FDF" w14:textId="5A7BFE38" w:rsidR="00652498" w:rsidRDefault="0098202B" w:rsidP="00425F36">
      <w:pPr>
        <w:spacing w:before="120"/>
      </w:pPr>
      <w:r>
        <w:t>Please note that where applicable, we may use information from the project to create media articles to further promote the Alliance. This will be done in consultation with the recipients.</w:t>
      </w:r>
    </w:p>
    <w:p w14:paraId="1CDBFF11" w14:textId="4355CA62" w:rsidR="00652498" w:rsidRPr="00652498" w:rsidRDefault="00652498" w:rsidP="00652498">
      <w:pPr>
        <w:pStyle w:val="Heading2"/>
      </w:pPr>
      <w:r w:rsidRPr="00652498">
        <w:t>Forfeiture of grants</w:t>
      </w:r>
    </w:p>
    <w:p w14:paraId="3ED4EBA5" w14:textId="49C0FE9D" w:rsidR="00652498" w:rsidRPr="00652498" w:rsidRDefault="00652498" w:rsidP="00652498">
      <w:pPr>
        <w:pStyle w:val="Pa1"/>
        <w:spacing w:line="360" w:lineRule="auto"/>
        <w:rPr>
          <w:rFonts w:ascii="Arial" w:eastAsia="Times New Roman" w:hAnsi="Arial"/>
          <w:sz w:val="22"/>
          <w:szCs w:val="20"/>
          <w:lang w:val="en-GB" w:eastAsia="en-US"/>
        </w:rPr>
      </w:pPr>
      <w:r w:rsidRPr="00652498">
        <w:rPr>
          <w:rFonts w:ascii="Arial" w:eastAsia="Times New Roman" w:hAnsi="Arial"/>
          <w:sz w:val="22"/>
          <w:szCs w:val="20"/>
          <w:lang w:val="en-GB" w:eastAsia="en-US"/>
        </w:rPr>
        <w:t xml:space="preserve">Grants not spent by the end date will be transferred back either to </w:t>
      </w:r>
      <w:proofErr w:type="spellStart"/>
      <w:r w:rsidRPr="00652498">
        <w:rPr>
          <w:rFonts w:ascii="Arial" w:eastAsia="Times New Roman" w:hAnsi="Arial"/>
          <w:sz w:val="22"/>
          <w:szCs w:val="20"/>
          <w:lang w:val="en-GB" w:eastAsia="en-US"/>
        </w:rPr>
        <w:t>UoA</w:t>
      </w:r>
      <w:proofErr w:type="spellEnd"/>
      <w:r w:rsidRPr="00652498">
        <w:rPr>
          <w:rFonts w:ascii="Arial" w:eastAsia="Times New Roman" w:hAnsi="Arial"/>
          <w:sz w:val="22"/>
          <w:szCs w:val="20"/>
          <w:lang w:val="en-GB" w:eastAsia="en-US"/>
        </w:rPr>
        <w:t xml:space="preserve"> or UoN as applicable</w:t>
      </w:r>
      <w:r>
        <w:rPr>
          <w:rFonts w:ascii="Arial" w:eastAsia="Times New Roman" w:hAnsi="Arial"/>
          <w:sz w:val="22"/>
          <w:szCs w:val="20"/>
          <w:lang w:val="en-GB" w:eastAsia="en-US"/>
        </w:rPr>
        <w:t>.</w:t>
      </w:r>
    </w:p>
    <w:p w14:paraId="0960E2D3" w14:textId="04942707" w:rsidR="00652498" w:rsidRPr="00652498" w:rsidRDefault="00652498" w:rsidP="00652498">
      <w:pPr>
        <w:pStyle w:val="Heading2"/>
      </w:pPr>
      <w:r w:rsidRPr="00652498">
        <w:lastRenderedPageBreak/>
        <w:t xml:space="preserve">Change of </w:t>
      </w:r>
      <w:r w:rsidR="00020A96">
        <w:t>i</w:t>
      </w:r>
      <w:r w:rsidRPr="00652498">
        <w:t>nvestigator</w:t>
      </w:r>
    </w:p>
    <w:p w14:paraId="64EA6FDF" w14:textId="36432DC0" w:rsidR="00652498" w:rsidRPr="00652498" w:rsidRDefault="00652498" w:rsidP="00652498">
      <w:pPr>
        <w:pStyle w:val="Pa1"/>
        <w:spacing w:line="360" w:lineRule="auto"/>
        <w:rPr>
          <w:rFonts w:ascii="Arial" w:eastAsia="Times New Roman" w:hAnsi="Arial"/>
          <w:sz w:val="22"/>
          <w:szCs w:val="20"/>
          <w:lang w:val="en-GB" w:eastAsia="en-US"/>
        </w:rPr>
      </w:pPr>
      <w:r w:rsidRPr="00652498">
        <w:rPr>
          <w:rFonts w:ascii="Arial" w:eastAsia="Times New Roman" w:hAnsi="Arial"/>
          <w:sz w:val="22"/>
          <w:szCs w:val="20"/>
          <w:lang w:val="en-GB" w:eastAsia="en-US"/>
        </w:rPr>
        <w:t xml:space="preserve">If the principal investigator, or another team member, leaves the project, awardees must provide notification with an explanation to the Global Engagement at </w:t>
      </w:r>
      <w:proofErr w:type="spellStart"/>
      <w:r w:rsidRPr="00652498">
        <w:rPr>
          <w:rFonts w:ascii="Arial" w:eastAsia="Times New Roman" w:hAnsi="Arial"/>
          <w:sz w:val="22"/>
          <w:szCs w:val="20"/>
          <w:lang w:val="en-GB" w:eastAsia="en-US"/>
        </w:rPr>
        <w:t>UoA</w:t>
      </w:r>
      <w:proofErr w:type="spellEnd"/>
      <w:r w:rsidRPr="00652498">
        <w:rPr>
          <w:rFonts w:ascii="Arial" w:eastAsia="Times New Roman" w:hAnsi="Arial"/>
          <w:sz w:val="22"/>
          <w:szCs w:val="20"/>
          <w:lang w:val="en-GB" w:eastAsia="en-US"/>
        </w:rPr>
        <w:t xml:space="preserve"> or UoN. All changes must be approved in writing. </w:t>
      </w:r>
    </w:p>
    <w:p w14:paraId="10D2B932" w14:textId="75371C9E" w:rsidR="00652498" w:rsidRPr="00652498" w:rsidRDefault="00652498" w:rsidP="00652498">
      <w:pPr>
        <w:pStyle w:val="Heading2"/>
      </w:pPr>
      <w:r w:rsidRPr="00652498">
        <w:t>Extensions to grant period</w:t>
      </w:r>
    </w:p>
    <w:p w14:paraId="0B7066CE" w14:textId="7F3A0D34" w:rsidR="00020A96" w:rsidRPr="003F2522" w:rsidRDefault="00652498" w:rsidP="003F2522">
      <w:pPr>
        <w:pStyle w:val="Pa1"/>
        <w:spacing w:line="360" w:lineRule="auto"/>
        <w:rPr>
          <w:rFonts w:ascii="Arial" w:eastAsia="Times New Roman" w:hAnsi="Arial"/>
          <w:sz w:val="22"/>
          <w:szCs w:val="20"/>
          <w:lang w:val="en-GB" w:eastAsia="en-US"/>
        </w:rPr>
      </w:pPr>
      <w:r w:rsidRPr="00652498">
        <w:rPr>
          <w:rFonts w:ascii="Arial" w:eastAsia="Times New Roman" w:hAnsi="Arial"/>
          <w:sz w:val="22"/>
          <w:szCs w:val="20"/>
          <w:lang w:val="en-GB" w:eastAsia="en-US"/>
        </w:rPr>
        <w:t xml:space="preserve">Under exceptional circumstances, no-cost extensions may be approved. Applicants seeking an extension must submit a written request for formal approval at least one month before the end of the grant, along with a revised budget and timeline of activities to Global Engagement at </w:t>
      </w:r>
      <w:proofErr w:type="spellStart"/>
      <w:r w:rsidRPr="00652498">
        <w:rPr>
          <w:rFonts w:ascii="Arial" w:eastAsia="Times New Roman" w:hAnsi="Arial"/>
          <w:sz w:val="22"/>
          <w:szCs w:val="20"/>
          <w:lang w:val="en-GB" w:eastAsia="en-US"/>
        </w:rPr>
        <w:t>UoA</w:t>
      </w:r>
      <w:proofErr w:type="spellEnd"/>
      <w:r w:rsidRPr="00652498">
        <w:rPr>
          <w:rFonts w:ascii="Arial" w:eastAsia="Times New Roman" w:hAnsi="Arial"/>
          <w:sz w:val="22"/>
          <w:szCs w:val="20"/>
          <w:lang w:val="en-GB" w:eastAsia="en-US"/>
        </w:rPr>
        <w:t xml:space="preserve"> or UoN. All changes must be approved in writing.</w:t>
      </w:r>
    </w:p>
    <w:p w14:paraId="047FB3B6" w14:textId="6FA78331" w:rsidR="00020A96" w:rsidRDefault="00020A96" w:rsidP="003F2522">
      <w:pPr>
        <w:pStyle w:val="Heading2"/>
      </w:pPr>
      <w:r>
        <w:t>Further information</w:t>
      </w:r>
    </w:p>
    <w:p w14:paraId="0A6D2326" w14:textId="77777777" w:rsidR="00020A96" w:rsidRDefault="00020A96" w:rsidP="003F2522">
      <w:r>
        <w:t xml:space="preserve">University of Nottingham as lead applicant: </w:t>
      </w:r>
      <w:hyperlink r:id="rId22" w:history="1">
        <w:r w:rsidRPr="00B508CF">
          <w:rPr>
            <w:rStyle w:val="Hyperlink"/>
          </w:rPr>
          <w:t>uonglobal@nottingham.ac.uk</w:t>
        </w:r>
      </w:hyperlink>
      <w:r>
        <w:t xml:space="preserve"> </w:t>
      </w:r>
    </w:p>
    <w:p w14:paraId="72D35A38" w14:textId="0AF1F8C5" w:rsidR="00483D69" w:rsidRDefault="00020A96" w:rsidP="003F2522">
      <w:r>
        <w:t xml:space="preserve">University of Adelaide as lead applicant: </w:t>
      </w:r>
      <w:hyperlink r:id="rId23">
        <w:r w:rsidRPr="49060799">
          <w:rPr>
            <w:rStyle w:val="Hyperlink"/>
          </w:rPr>
          <w:t>globalengagement@adelaide.edu.au</w:t>
        </w:r>
      </w:hyperlink>
    </w:p>
    <w:sectPr w:rsidR="00483D69" w:rsidSect="007C5ECA">
      <w:headerReference w:type="even" r:id="rId24"/>
      <w:headerReference w:type="default" r:id="rId25"/>
      <w:footerReference w:type="even" r:id="rId26"/>
      <w:footerReference w:type="default" r:id="rId27"/>
      <w:headerReference w:type="first" r:id="rId28"/>
      <w:footerReference w:type="first" r:id="rId29"/>
      <w:pgSz w:w="11900" w:h="16840"/>
      <w:pgMar w:top="2147" w:right="1080" w:bottom="851" w:left="1080" w:header="420" w:footer="7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FB0E2" w14:textId="77777777" w:rsidR="00A166F9" w:rsidRDefault="00A166F9" w:rsidP="00BE1E91">
      <w:r>
        <w:separator/>
      </w:r>
    </w:p>
    <w:p w14:paraId="3D81AE29" w14:textId="77777777" w:rsidR="00A166F9" w:rsidRDefault="00A166F9"/>
  </w:endnote>
  <w:endnote w:type="continuationSeparator" w:id="0">
    <w:p w14:paraId="1C41AB06" w14:textId="77777777" w:rsidR="00A166F9" w:rsidRDefault="00A166F9" w:rsidP="00BE1E91">
      <w:r>
        <w:continuationSeparator/>
      </w:r>
    </w:p>
    <w:p w14:paraId="1E4ACC24" w14:textId="77777777" w:rsidR="00A166F9" w:rsidRDefault="00A166F9"/>
  </w:endnote>
  <w:endnote w:type="continuationNotice" w:id="1">
    <w:p w14:paraId="55AF1C5A" w14:textId="77777777" w:rsidR="00A166F9" w:rsidRDefault="00A166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5D2CC"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7D74CD2C" w14:textId="77777777" w:rsidR="007610CA" w:rsidRDefault="007610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DE82" w14:textId="43BD6851" w:rsidR="00483D69" w:rsidRPr="00483D69" w:rsidRDefault="00F65ABC" w:rsidP="00483D69">
    <w:pPr>
      <w:pStyle w:val="Footer"/>
      <w:jc w:val="right"/>
      <w:rPr>
        <w:rFonts w:ascii="Arial" w:hAnsi="Arial" w:cs="Arial"/>
        <w:noProof/>
        <w:sz w:val="18"/>
        <w:szCs w:val="18"/>
      </w:rPr>
    </w:pPr>
    <w:r w:rsidRPr="00F65ABC">
      <w:rPr>
        <w:rFonts w:ascii="Arial" w:hAnsi="Arial" w:cs="Arial"/>
        <w:sz w:val="18"/>
        <w:szCs w:val="18"/>
      </w:rPr>
      <w:fldChar w:fldCharType="begin"/>
    </w:r>
    <w:r w:rsidRPr="00F65ABC">
      <w:rPr>
        <w:rFonts w:ascii="Arial" w:hAnsi="Arial" w:cs="Arial"/>
        <w:sz w:val="18"/>
        <w:szCs w:val="18"/>
      </w:rPr>
      <w:instrText xml:space="preserve"> PAGE   \* MERGEFORMAT </w:instrText>
    </w:r>
    <w:r w:rsidRPr="00F65ABC">
      <w:rPr>
        <w:rFonts w:ascii="Arial" w:hAnsi="Arial" w:cs="Arial"/>
        <w:sz w:val="18"/>
        <w:szCs w:val="18"/>
      </w:rPr>
      <w:fldChar w:fldCharType="separate"/>
    </w:r>
    <w:r w:rsidR="006563E5">
      <w:rPr>
        <w:rFonts w:ascii="Arial" w:hAnsi="Arial" w:cs="Arial"/>
        <w:noProof/>
        <w:sz w:val="18"/>
        <w:szCs w:val="18"/>
      </w:rPr>
      <w:t>2</w:t>
    </w:r>
    <w:r w:rsidRPr="00F65ABC">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CF86" w14:textId="0AEA608F" w:rsidR="00F35EF9" w:rsidRPr="00F35EF9" w:rsidRDefault="00F35EF9">
    <w:pPr>
      <w:pStyle w:val="Footer"/>
      <w:jc w:val="right"/>
      <w:rPr>
        <w:rFonts w:ascii="Arial" w:hAnsi="Arial" w:cs="Arial"/>
        <w:sz w:val="18"/>
        <w:szCs w:val="18"/>
      </w:rPr>
    </w:pPr>
    <w:r w:rsidRPr="00F35EF9">
      <w:rPr>
        <w:rFonts w:ascii="Arial" w:hAnsi="Arial" w:cs="Arial"/>
        <w:sz w:val="18"/>
        <w:szCs w:val="18"/>
      </w:rPr>
      <w:fldChar w:fldCharType="begin"/>
    </w:r>
    <w:r w:rsidRPr="00F35EF9">
      <w:rPr>
        <w:rFonts w:ascii="Arial" w:hAnsi="Arial" w:cs="Arial"/>
        <w:sz w:val="18"/>
        <w:szCs w:val="18"/>
      </w:rPr>
      <w:instrText xml:space="preserve"> PAGE   \* MERGEFORMAT </w:instrText>
    </w:r>
    <w:r w:rsidRPr="00F35EF9">
      <w:rPr>
        <w:rFonts w:ascii="Arial" w:hAnsi="Arial" w:cs="Arial"/>
        <w:sz w:val="18"/>
        <w:szCs w:val="18"/>
      </w:rPr>
      <w:fldChar w:fldCharType="separate"/>
    </w:r>
    <w:r w:rsidR="006563E5">
      <w:rPr>
        <w:rFonts w:ascii="Arial" w:hAnsi="Arial" w:cs="Arial"/>
        <w:noProof/>
        <w:sz w:val="18"/>
        <w:szCs w:val="18"/>
      </w:rPr>
      <w:t>1</w:t>
    </w:r>
    <w:r w:rsidRPr="00F35EF9">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8BF36" w14:textId="77777777" w:rsidR="00A166F9" w:rsidRDefault="00A166F9" w:rsidP="00BE1E91">
      <w:r>
        <w:separator/>
      </w:r>
    </w:p>
    <w:p w14:paraId="6C7C35A9" w14:textId="77777777" w:rsidR="00A166F9" w:rsidRDefault="00A166F9"/>
  </w:footnote>
  <w:footnote w:type="continuationSeparator" w:id="0">
    <w:p w14:paraId="0F0C3CC1" w14:textId="77777777" w:rsidR="00A166F9" w:rsidRDefault="00A166F9" w:rsidP="00BE1E91">
      <w:r>
        <w:continuationSeparator/>
      </w:r>
    </w:p>
    <w:p w14:paraId="6383667E" w14:textId="77777777" w:rsidR="00A166F9" w:rsidRDefault="00A166F9"/>
  </w:footnote>
  <w:footnote w:type="continuationNotice" w:id="1">
    <w:p w14:paraId="6C6760DD" w14:textId="77777777" w:rsidR="00A166F9" w:rsidRDefault="00A166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103A3" w14:textId="77777777" w:rsidR="007C5ECA" w:rsidRDefault="007C5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5375" w14:textId="77777777" w:rsidR="00BF5085" w:rsidRPr="00C527DB" w:rsidRDefault="00BF5085" w:rsidP="00C52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31A7" w14:textId="60132509" w:rsidR="00061C52" w:rsidRDefault="00061C52" w:rsidP="00821A84">
    <w:pPr>
      <w:widowControl w:val="0"/>
      <w:autoSpaceDE w:val="0"/>
      <w:autoSpaceDN w:val="0"/>
      <w:adjustRightInd w:val="0"/>
      <w:rPr>
        <w:b/>
        <w:color w:val="003466"/>
        <w:sz w:val="14"/>
        <w:szCs w:val="14"/>
        <w:lang w:val="en-US"/>
      </w:rPr>
    </w:pPr>
  </w:p>
  <w:p w14:paraId="72C0EF29" w14:textId="1B707AB5" w:rsidR="00A47B93" w:rsidRDefault="00A47B93" w:rsidP="00821A84">
    <w:pPr>
      <w:widowControl w:val="0"/>
      <w:autoSpaceDE w:val="0"/>
      <w:autoSpaceDN w:val="0"/>
      <w:adjustRightInd w:val="0"/>
      <w:rPr>
        <w:b/>
        <w:color w:val="003466"/>
        <w:sz w:val="14"/>
        <w:szCs w:val="14"/>
        <w:lang w:val="en-US"/>
      </w:rPr>
    </w:pPr>
  </w:p>
  <w:p w14:paraId="766DECDB" w14:textId="6ACC6C67" w:rsidR="00F35EF9" w:rsidRDefault="00F35EF9" w:rsidP="00821A84">
    <w:pPr>
      <w:widowControl w:val="0"/>
      <w:autoSpaceDE w:val="0"/>
      <w:autoSpaceDN w:val="0"/>
      <w:adjustRightInd w:val="0"/>
      <w:rPr>
        <w:b/>
        <w:color w:val="003466"/>
        <w:sz w:val="14"/>
        <w:szCs w:val="14"/>
        <w:lang w:val="en-US"/>
      </w:rPr>
    </w:pPr>
  </w:p>
  <w:p w14:paraId="431C206E" w14:textId="45202F6B" w:rsidR="00061C52" w:rsidRDefault="00D447B9" w:rsidP="00821A84">
    <w:pPr>
      <w:widowControl w:val="0"/>
      <w:autoSpaceDE w:val="0"/>
      <w:autoSpaceDN w:val="0"/>
      <w:adjustRightInd w:val="0"/>
      <w:rPr>
        <w:b/>
        <w:color w:val="003466"/>
        <w:sz w:val="14"/>
        <w:szCs w:val="14"/>
        <w:lang w:val="en-US"/>
      </w:rPr>
    </w:pPr>
    <w:r>
      <w:rPr>
        <w:noProof/>
      </w:rPr>
      <w:drawing>
        <wp:anchor distT="0" distB="0" distL="114300" distR="114300" simplePos="0" relativeHeight="251658240" behindDoc="0" locked="0" layoutInCell="1" allowOverlap="1" wp14:anchorId="4B1B2EF2" wp14:editId="2529B5CC">
          <wp:simplePos x="0" y="0"/>
          <wp:positionH relativeFrom="margin">
            <wp:align>right</wp:align>
          </wp:positionH>
          <wp:positionV relativeFrom="paragraph">
            <wp:posOffset>6350</wp:posOffset>
          </wp:positionV>
          <wp:extent cx="1866900" cy="700088"/>
          <wp:effectExtent l="0" t="0" r="0" b="5080"/>
          <wp:wrapNone/>
          <wp:docPr id="14" name="Picture 14" descr="Logo | Our Brand | University of Adela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Our Brand | University of Adelaide"/>
                  <pic:cNvPicPr>
                    <a:picLocks noChangeAspect="1" noChangeArrowheads="1"/>
                  </pic:cNvPicPr>
                </pic:nvPicPr>
                <pic:blipFill rotWithShape="1">
                  <a:blip r:embed="rId1">
                    <a:extLst>
                      <a:ext uri="{28A0092B-C50C-407E-A947-70E740481C1C}">
                        <a14:useLocalDpi xmlns:a14="http://schemas.microsoft.com/office/drawing/2010/main" val="0"/>
                      </a:ext>
                    </a:extLst>
                  </a:blip>
                  <a:srcRect l="6439" t="25181" r="7700" b="23775"/>
                  <a:stretch/>
                </pic:blipFill>
                <pic:spPr bwMode="auto">
                  <a:xfrm>
                    <a:off x="0" y="0"/>
                    <a:ext cx="1866900" cy="7000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color w:val="003466"/>
        <w:sz w:val="14"/>
        <w:szCs w:val="14"/>
        <w:lang w:val="en-US"/>
      </w:rPr>
      <w:drawing>
        <wp:anchor distT="0" distB="0" distL="114300" distR="114300" simplePos="0" relativeHeight="251658241" behindDoc="0" locked="0" layoutInCell="1" allowOverlap="1" wp14:anchorId="6C7513D3" wp14:editId="3A450774">
          <wp:simplePos x="0" y="0"/>
          <wp:positionH relativeFrom="margin">
            <wp:align>left</wp:align>
          </wp:positionH>
          <wp:positionV relativeFrom="paragraph">
            <wp:posOffset>6985</wp:posOffset>
          </wp:positionV>
          <wp:extent cx="1848657" cy="688975"/>
          <wp:effectExtent l="0" t="0" r="0" b="0"/>
          <wp:wrapNone/>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 Nottingham Blue single colour logo RGB.png"/>
                  <pic:cNvPicPr/>
                </pic:nvPicPr>
                <pic:blipFill>
                  <a:blip r:embed="rId2"/>
                  <a:stretch>
                    <a:fillRect/>
                  </a:stretch>
                </pic:blipFill>
                <pic:spPr>
                  <a:xfrm>
                    <a:off x="0" y="0"/>
                    <a:ext cx="1848657" cy="688975"/>
                  </a:xfrm>
                  <a:prstGeom prst="rect">
                    <a:avLst/>
                  </a:prstGeom>
                </pic:spPr>
              </pic:pic>
            </a:graphicData>
          </a:graphic>
        </wp:anchor>
      </w:drawing>
    </w:r>
  </w:p>
  <w:p w14:paraId="22BC5B71" w14:textId="5A6C3973" w:rsidR="00061C52" w:rsidRPr="002B278C" w:rsidRDefault="00061C52" w:rsidP="00821A84">
    <w:pPr>
      <w:widowControl w:val="0"/>
      <w:autoSpaceDE w:val="0"/>
      <w:autoSpaceDN w:val="0"/>
      <w:adjustRightInd w:val="0"/>
      <w:rPr>
        <w:b/>
        <w:color w:val="003466"/>
        <w:sz w:val="14"/>
        <w:szCs w:val="1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46FA"/>
    <w:multiLevelType w:val="hybridMultilevel"/>
    <w:tmpl w:val="5FD28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4C037D"/>
    <w:multiLevelType w:val="hybridMultilevel"/>
    <w:tmpl w:val="01160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0B6670D"/>
    <w:multiLevelType w:val="hybridMultilevel"/>
    <w:tmpl w:val="65748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C1FE4"/>
    <w:multiLevelType w:val="hybridMultilevel"/>
    <w:tmpl w:val="DCF05D1A"/>
    <w:lvl w:ilvl="0" w:tplc="08090001">
      <w:start w:val="1"/>
      <w:numFmt w:val="bullet"/>
      <w:lvlText w:val=""/>
      <w:lvlJc w:val="left"/>
      <w:pPr>
        <w:ind w:left="467" w:hanging="360"/>
      </w:pPr>
      <w:rPr>
        <w:rFonts w:ascii="Symbol" w:hAnsi="Symbol" w:hint="default"/>
        <w:w w:val="100"/>
        <w:sz w:val="21"/>
        <w:szCs w:val="21"/>
      </w:rPr>
    </w:lvl>
    <w:lvl w:ilvl="1" w:tplc="F8440C20">
      <w:numFmt w:val="bullet"/>
      <w:lvlText w:val="o"/>
      <w:lvlJc w:val="left"/>
      <w:pPr>
        <w:ind w:left="1187" w:hanging="360"/>
      </w:pPr>
      <w:rPr>
        <w:rFonts w:ascii="Courier New" w:eastAsia="Courier New" w:hAnsi="Courier New" w:cs="Courier New" w:hint="default"/>
        <w:w w:val="99"/>
        <w:sz w:val="21"/>
        <w:szCs w:val="21"/>
      </w:rPr>
    </w:lvl>
    <w:lvl w:ilvl="2" w:tplc="96ACAE8E">
      <w:numFmt w:val="bullet"/>
      <w:lvlText w:val="•"/>
      <w:lvlJc w:val="left"/>
      <w:pPr>
        <w:ind w:left="1812" w:hanging="360"/>
      </w:pPr>
      <w:rPr>
        <w:rFonts w:hint="default"/>
      </w:rPr>
    </w:lvl>
    <w:lvl w:ilvl="3" w:tplc="3354A3D4">
      <w:numFmt w:val="bullet"/>
      <w:lvlText w:val="•"/>
      <w:lvlJc w:val="left"/>
      <w:pPr>
        <w:ind w:left="2445" w:hanging="360"/>
      </w:pPr>
      <w:rPr>
        <w:rFonts w:hint="default"/>
      </w:rPr>
    </w:lvl>
    <w:lvl w:ilvl="4" w:tplc="91C6DEF8">
      <w:numFmt w:val="bullet"/>
      <w:lvlText w:val="•"/>
      <w:lvlJc w:val="left"/>
      <w:pPr>
        <w:ind w:left="3077" w:hanging="360"/>
      </w:pPr>
      <w:rPr>
        <w:rFonts w:hint="default"/>
      </w:rPr>
    </w:lvl>
    <w:lvl w:ilvl="5" w:tplc="6464E526">
      <w:numFmt w:val="bullet"/>
      <w:lvlText w:val="•"/>
      <w:lvlJc w:val="left"/>
      <w:pPr>
        <w:ind w:left="3710" w:hanging="360"/>
      </w:pPr>
      <w:rPr>
        <w:rFonts w:hint="default"/>
      </w:rPr>
    </w:lvl>
    <w:lvl w:ilvl="6" w:tplc="84D4395E">
      <w:numFmt w:val="bullet"/>
      <w:lvlText w:val="•"/>
      <w:lvlJc w:val="left"/>
      <w:pPr>
        <w:ind w:left="4342" w:hanging="360"/>
      </w:pPr>
      <w:rPr>
        <w:rFonts w:hint="default"/>
      </w:rPr>
    </w:lvl>
    <w:lvl w:ilvl="7" w:tplc="21563F1E">
      <w:numFmt w:val="bullet"/>
      <w:lvlText w:val="•"/>
      <w:lvlJc w:val="left"/>
      <w:pPr>
        <w:ind w:left="4975" w:hanging="360"/>
      </w:pPr>
      <w:rPr>
        <w:rFonts w:hint="default"/>
      </w:rPr>
    </w:lvl>
    <w:lvl w:ilvl="8" w:tplc="F0D02310">
      <w:numFmt w:val="bullet"/>
      <w:lvlText w:val="•"/>
      <w:lvlJc w:val="left"/>
      <w:pPr>
        <w:ind w:left="5607" w:hanging="360"/>
      </w:pPr>
      <w:rPr>
        <w:rFonts w:hint="default"/>
      </w:rPr>
    </w:lvl>
  </w:abstractNum>
  <w:abstractNum w:abstractNumId="4" w15:restartNumberingAfterBreak="0">
    <w:nsid w:val="0BE1696F"/>
    <w:multiLevelType w:val="hybridMultilevel"/>
    <w:tmpl w:val="BBB0DC2C"/>
    <w:lvl w:ilvl="0" w:tplc="08090001">
      <w:start w:val="1"/>
      <w:numFmt w:val="bullet"/>
      <w:lvlText w:val=""/>
      <w:lvlJc w:val="left"/>
      <w:pPr>
        <w:ind w:left="467" w:hanging="360"/>
      </w:pPr>
      <w:rPr>
        <w:rFonts w:ascii="Symbol" w:hAnsi="Symbol" w:hint="default"/>
        <w:w w:val="100"/>
        <w:sz w:val="21"/>
        <w:szCs w:val="21"/>
      </w:rPr>
    </w:lvl>
    <w:lvl w:ilvl="1" w:tplc="AFAC0242">
      <w:numFmt w:val="bullet"/>
      <w:lvlText w:val="•"/>
      <w:lvlJc w:val="left"/>
      <w:pPr>
        <w:ind w:left="1101" w:hanging="360"/>
      </w:pPr>
      <w:rPr>
        <w:rFonts w:hint="default"/>
      </w:rPr>
    </w:lvl>
    <w:lvl w:ilvl="2" w:tplc="18C46CA2">
      <w:numFmt w:val="bullet"/>
      <w:lvlText w:val="•"/>
      <w:lvlJc w:val="left"/>
      <w:pPr>
        <w:ind w:left="1742" w:hanging="360"/>
      </w:pPr>
      <w:rPr>
        <w:rFonts w:hint="default"/>
      </w:rPr>
    </w:lvl>
    <w:lvl w:ilvl="3" w:tplc="0BFAE934">
      <w:numFmt w:val="bullet"/>
      <w:lvlText w:val="•"/>
      <w:lvlJc w:val="left"/>
      <w:pPr>
        <w:ind w:left="2383" w:hanging="360"/>
      </w:pPr>
      <w:rPr>
        <w:rFonts w:hint="default"/>
      </w:rPr>
    </w:lvl>
    <w:lvl w:ilvl="4" w:tplc="07603E0E">
      <w:numFmt w:val="bullet"/>
      <w:lvlText w:val="•"/>
      <w:lvlJc w:val="left"/>
      <w:pPr>
        <w:ind w:left="3025" w:hanging="360"/>
      </w:pPr>
      <w:rPr>
        <w:rFonts w:hint="default"/>
      </w:rPr>
    </w:lvl>
    <w:lvl w:ilvl="5" w:tplc="E7F89D1E">
      <w:numFmt w:val="bullet"/>
      <w:lvlText w:val="•"/>
      <w:lvlJc w:val="left"/>
      <w:pPr>
        <w:ind w:left="3666" w:hanging="360"/>
      </w:pPr>
      <w:rPr>
        <w:rFonts w:hint="default"/>
      </w:rPr>
    </w:lvl>
    <w:lvl w:ilvl="6" w:tplc="25BCF930">
      <w:numFmt w:val="bullet"/>
      <w:lvlText w:val="•"/>
      <w:lvlJc w:val="left"/>
      <w:pPr>
        <w:ind w:left="4307" w:hanging="360"/>
      </w:pPr>
      <w:rPr>
        <w:rFonts w:hint="default"/>
      </w:rPr>
    </w:lvl>
    <w:lvl w:ilvl="7" w:tplc="4F607380">
      <w:numFmt w:val="bullet"/>
      <w:lvlText w:val="•"/>
      <w:lvlJc w:val="left"/>
      <w:pPr>
        <w:ind w:left="4948" w:hanging="360"/>
      </w:pPr>
      <w:rPr>
        <w:rFonts w:hint="default"/>
      </w:rPr>
    </w:lvl>
    <w:lvl w:ilvl="8" w:tplc="573E476A">
      <w:numFmt w:val="bullet"/>
      <w:lvlText w:val="•"/>
      <w:lvlJc w:val="left"/>
      <w:pPr>
        <w:ind w:left="5590" w:hanging="360"/>
      </w:pPr>
      <w:rPr>
        <w:rFonts w:hint="default"/>
      </w:rPr>
    </w:lvl>
  </w:abstractNum>
  <w:abstractNum w:abstractNumId="5" w15:restartNumberingAfterBreak="0">
    <w:nsid w:val="0D245E6E"/>
    <w:multiLevelType w:val="hybridMultilevel"/>
    <w:tmpl w:val="EA58B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CC6E02"/>
    <w:multiLevelType w:val="hybridMultilevel"/>
    <w:tmpl w:val="0784BA02"/>
    <w:lvl w:ilvl="0" w:tplc="08090001">
      <w:start w:val="1"/>
      <w:numFmt w:val="bullet"/>
      <w:lvlText w:val=""/>
      <w:lvlJc w:val="left"/>
      <w:pPr>
        <w:ind w:left="467" w:hanging="360"/>
      </w:pPr>
      <w:rPr>
        <w:rFonts w:ascii="Symbol" w:hAnsi="Symbol" w:hint="default"/>
        <w:w w:val="100"/>
        <w:sz w:val="21"/>
        <w:szCs w:val="21"/>
      </w:rPr>
    </w:lvl>
    <w:lvl w:ilvl="1" w:tplc="DE4232C0">
      <w:numFmt w:val="bullet"/>
      <w:lvlText w:val="•"/>
      <w:lvlJc w:val="left"/>
      <w:pPr>
        <w:ind w:left="1101" w:hanging="360"/>
      </w:pPr>
      <w:rPr>
        <w:rFonts w:hint="default"/>
      </w:rPr>
    </w:lvl>
    <w:lvl w:ilvl="2" w:tplc="380ED0F2">
      <w:numFmt w:val="bullet"/>
      <w:lvlText w:val="•"/>
      <w:lvlJc w:val="left"/>
      <w:pPr>
        <w:ind w:left="1742" w:hanging="360"/>
      </w:pPr>
      <w:rPr>
        <w:rFonts w:hint="default"/>
      </w:rPr>
    </w:lvl>
    <w:lvl w:ilvl="3" w:tplc="5EBCCC72">
      <w:numFmt w:val="bullet"/>
      <w:lvlText w:val="•"/>
      <w:lvlJc w:val="left"/>
      <w:pPr>
        <w:ind w:left="2383" w:hanging="360"/>
      </w:pPr>
      <w:rPr>
        <w:rFonts w:hint="default"/>
      </w:rPr>
    </w:lvl>
    <w:lvl w:ilvl="4" w:tplc="BEE0487A">
      <w:numFmt w:val="bullet"/>
      <w:lvlText w:val="•"/>
      <w:lvlJc w:val="left"/>
      <w:pPr>
        <w:ind w:left="3025" w:hanging="360"/>
      </w:pPr>
      <w:rPr>
        <w:rFonts w:hint="default"/>
      </w:rPr>
    </w:lvl>
    <w:lvl w:ilvl="5" w:tplc="07907A6A">
      <w:numFmt w:val="bullet"/>
      <w:lvlText w:val="•"/>
      <w:lvlJc w:val="left"/>
      <w:pPr>
        <w:ind w:left="3666" w:hanging="360"/>
      </w:pPr>
      <w:rPr>
        <w:rFonts w:hint="default"/>
      </w:rPr>
    </w:lvl>
    <w:lvl w:ilvl="6" w:tplc="B7AE32CC">
      <w:numFmt w:val="bullet"/>
      <w:lvlText w:val="•"/>
      <w:lvlJc w:val="left"/>
      <w:pPr>
        <w:ind w:left="4307" w:hanging="360"/>
      </w:pPr>
      <w:rPr>
        <w:rFonts w:hint="default"/>
      </w:rPr>
    </w:lvl>
    <w:lvl w:ilvl="7" w:tplc="4D02D58A">
      <w:numFmt w:val="bullet"/>
      <w:lvlText w:val="•"/>
      <w:lvlJc w:val="left"/>
      <w:pPr>
        <w:ind w:left="4948" w:hanging="360"/>
      </w:pPr>
      <w:rPr>
        <w:rFonts w:hint="default"/>
      </w:rPr>
    </w:lvl>
    <w:lvl w:ilvl="8" w:tplc="D166CA8E">
      <w:numFmt w:val="bullet"/>
      <w:lvlText w:val="•"/>
      <w:lvlJc w:val="left"/>
      <w:pPr>
        <w:ind w:left="5590" w:hanging="360"/>
      </w:pPr>
      <w:rPr>
        <w:rFonts w:hint="default"/>
      </w:rPr>
    </w:lvl>
  </w:abstractNum>
  <w:abstractNum w:abstractNumId="7"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3672C"/>
    <w:multiLevelType w:val="hybridMultilevel"/>
    <w:tmpl w:val="7DFCB5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F4478"/>
    <w:multiLevelType w:val="hybridMultilevel"/>
    <w:tmpl w:val="B3FA1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AD225E"/>
    <w:multiLevelType w:val="hybridMultilevel"/>
    <w:tmpl w:val="89B694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FB5AA4"/>
    <w:multiLevelType w:val="hybridMultilevel"/>
    <w:tmpl w:val="FD74D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91537"/>
    <w:multiLevelType w:val="hybridMultilevel"/>
    <w:tmpl w:val="290E7C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C0AFE"/>
    <w:multiLevelType w:val="hybridMultilevel"/>
    <w:tmpl w:val="B0621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D8184D"/>
    <w:multiLevelType w:val="hybridMultilevel"/>
    <w:tmpl w:val="98D4AD52"/>
    <w:lvl w:ilvl="0" w:tplc="08090001">
      <w:start w:val="3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1F55E5"/>
    <w:multiLevelType w:val="hybridMultilevel"/>
    <w:tmpl w:val="0DEA2A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7E2177"/>
    <w:multiLevelType w:val="hybridMultilevel"/>
    <w:tmpl w:val="9992D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29285D"/>
    <w:multiLevelType w:val="hybridMultilevel"/>
    <w:tmpl w:val="7E645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EE6FEC"/>
    <w:multiLevelType w:val="hybridMultilevel"/>
    <w:tmpl w:val="FDCC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75DDB"/>
    <w:multiLevelType w:val="hybridMultilevel"/>
    <w:tmpl w:val="EC72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B420AE"/>
    <w:multiLevelType w:val="hybridMultilevel"/>
    <w:tmpl w:val="C838BF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BF03308"/>
    <w:multiLevelType w:val="hybridMultilevel"/>
    <w:tmpl w:val="D2245F9C"/>
    <w:lvl w:ilvl="0" w:tplc="08090001">
      <w:start w:val="1"/>
      <w:numFmt w:val="bullet"/>
      <w:lvlText w:val=""/>
      <w:lvlJc w:val="left"/>
      <w:pPr>
        <w:ind w:left="467" w:hanging="360"/>
      </w:pPr>
      <w:rPr>
        <w:rFonts w:ascii="Symbol" w:hAnsi="Symbol" w:hint="default"/>
        <w:w w:val="100"/>
        <w:sz w:val="21"/>
        <w:szCs w:val="21"/>
      </w:rPr>
    </w:lvl>
    <w:lvl w:ilvl="1" w:tplc="5F90A01C">
      <w:numFmt w:val="bullet"/>
      <w:lvlText w:val="•"/>
      <w:lvlJc w:val="left"/>
      <w:pPr>
        <w:ind w:left="1101" w:hanging="360"/>
      </w:pPr>
      <w:rPr>
        <w:rFonts w:hint="default"/>
      </w:rPr>
    </w:lvl>
    <w:lvl w:ilvl="2" w:tplc="C41C0DEA">
      <w:numFmt w:val="bullet"/>
      <w:lvlText w:val="•"/>
      <w:lvlJc w:val="left"/>
      <w:pPr>
        <w:ind w:left="1742" w:hanging="360"/>
      </w:pPr>
      <w:rPr>
        <w:rFonts w:hint="default"/>
      </w:rPr>
    </w:lvl>
    <w:lvl w:ilvl="3" w:tplc="329CFC24">
      <w:numFmt w:val="bullet"/>
      <w:lvlText w:val="•"/>
      <w:lvlJc w:val="left"/>
      <w:pPr>
        <w:ind w:left="2383" w:hanging="360"/>
      </w:pPr>
      <w:rPr>
        <w:rFonts w:hint="default"/>
      </w:rPr>
    </w:lvl>
    <w:lvl w:ilvl="4" w:tplc="82BE3CB8">
      <w:numFmt w:val="bullet"/>
      <w:lvlText w:val="•"/>
      <w:lvlJc w:val="left"/>
      <w:pPr>
        <w:ind w:left="3025" w:hanging="360"/>
      </w:pPr>
      <w:rPr>
        <w:rFonts w:hint="default"/>
      </w:rPr>
    </w:lvl>
    <w:lvl w:ilvl="5" w:tplc="C07AB03C">
      <w:numFmt w:val="bullet"/>
      <w:lvlText w:val="•"/>
      <w:lvlJc w:val="left"/>
      <w:pPr>
        <w:ind w:left="3666" w:hanging="360"/>
      </w:pPr>
      <w:rPr>
        <w:rFonts w:hint="default"/>
      </w:rPr>
    </w:lvl>
    <w:lvl w:ilvl="6" w:tplc="91BAF01C">
      <w:numFmt w:val="bullet"/>
      <w:lvlText w:val="•"/>
      <w:lvlJc w:val="left"/>
      <w:pPr>
        <w:ind w:left="4307" w:hanging="360"/>
      </w:pPr>
      <w:rPr>
        <w:rFonts w:hint="default"/>
      </w:rPr>
    </w:lvl>
    <w:lvl w:ilvl="7" w:tplc="2BD605E2">
      <w:numFmt w:val="bullet"/>
      <w:lvlText w:val="•"/>
      <w:lvlJc w:val="left"/>
      <w:pPr>
        <w:ind w:left="4948" w:hanging="360"/>
      </w:pPr>
      <w:rPr>
        <w:rFonts w:hint="default"/>
      </w:rPr>
    </w:lvl>
    <w:lvl w:ilvl="8" w:tplc="0702321C">
      <w:numFmt w:val="bullet"/>
      <w:lvlText w:val="•"/>
      <w:lvlJc w:val="left"/>
      <w:pPr>
        <w:ind w:left="5590" w:hanging="360"/>
      </w:pPr>
      <w:rPr>
        <w:rFonts w:hint="default"/>
      </w:rPr>
    </w:lvl>
  </w:abstractNum>
  <w:abstractNum w:abstractNumId="27" w15:restartNumberingAfterBreak="0">
    <w:nsid w:val="6D995ED1"/>
    <w:multiLevelType w:val="hybridMultilevel"/>
    <w:tmpl w:val="799CC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333992"/>
    <w:multiLevelType w:val="hybridMultilevel"/>
    <w:tmpl w:val="A7505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8315A6"/>
    <w:multiLevelType w:val="hybridMultilevel"/>
    <w:tmpl w:val="5C768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0639CC"/>
    <w:multiLevelType w:val="hybridMultilevel"/>
    <w:tmpl w:val="95D8FF4A"/>
    <w:lvl w:ilvl="0" w:tplc="08090001">
      <w:start w:val="1"/>
      <w:numFmt w:val="bullet"/>
      <w:lvlText w:val=""/>
      <w:lvlJc w:val="left"/>
      <w:pPr>
        <w:ind w:left="467" w:hanging="360"/>
      </w:pPr>
      <w:rPr>
        <w:rFonts w:ascii="Symbol" w:hAnsi="Symbol" w:hint="default"/>
        <w:w w:val="100"/>
        <w:sz w:val="21"/>
        <w:szCs w:val="21"/>
      </w:rPr>
    </w:lvl>
    <w:lvl w:ilvl="1" w:tplc="FDB46824">
      <w:numFmt w:val="bullet"/>
      <w:lvlText w:val="o"/>
      <w:lvlJc w:val="left"/>
      <w:pPr>
        <w:ind w:left="1187" w:hanging="360"/>
      </w:pPr>
      <w:rPr>
        <w:rFonts w:ascii="Courier New" w:eastAsia="Courier New" w:hAnsi="Courier New" w:cs="Courier New" w:hint="default"/>
        <w:w w:val="99"/>
        <w:sz w:val="21"/>
        <w:szCs w:val="21"/>
      </w:rPr>
    </w:lvl>
    <w:lvl w:ilvl="2" w:tplc="882A19F8">
      <w:numFmt w:val="bullet"/>
      <w:lvlText w:val="•"/>
      <w:lvlJc w:val="left"/>
      <w:pPr>
        <w:ind w:left="1812" w:hanging="360"/>
      </w:pPr>
      <w:rPr>
        <w:rFonts w:hint="default"/>
      </w:rPr>
    </w:lvl>
    <w:lvl w:ilvl="3" w:tplc="8146F60A">
      <w:numFmt w:val="bullet"/>
      <w:lvlText w:val="•"/>
      <w:lvlJc w:val="left"/>
      <w:pPr>
        <w:ind w:left="2445" w:hanging="360"/>
      </w:pPr>
      <w:rPr>
        <w:rFonts w:hint="default"/>
      </w:rPr>
    </w:lvl>
    <w:lvl w:ilvl="4" w:tplc="6F1267D4">
      <w:numFmt w:val="bullet"/>
      <w:lvlText w:val="•"/>
      <w:lvlJc w:val="left"/>
      <w:pPr>
        <w:ind w:left="3077" w:hanging="360"/>
      </w:pPr>
      <w:rPr>
        <w:rFonts w:hint="default"/>
      </w:rPr>
    </w:lvl>
    <w:lvl w:ilvl="5" w:tplc="B36E10D6">
      <w:numFmt w:val="bullet"/>
      <w:lvlText w:val="•"/>
      <w:lvlJc w:val="left"/>
      <w:pPr>
        <w:ind w:left="3710" w:hanging="360"/>
      </w:pPr>
      <w:rPr>
        <w:rFonts w:hint="default"/>
      </w:rPr>
    </w:lvl>
    <w:lvl w:ilvl="6" w:tplc="2FE84800">
      <w:numFmt w:val="bullet"/>
      <w:lvlText w:val="•"/>
      <w:lvlJc w:val="left"/>
      <w:pPr>
        <w:ind w:left="4342" w:hanging="360"/>
      </w:pPr>
      <w:rPr>
        <w:rFonts w:hint="default"/>
      </w:rPr>
    </w:lvl>
    <w:lvl w:ilvl="7" w:tplc="B2C26AAE">
      <w:numFmt w:val="bullet"/>
      <w:lvlText w:val="•"/>
      <w:lvlJc w:val="left"/>
      <w:pPr>
        <w:ind w:left="4975" w:hanging="360"/>
      </w:pPr>
      <w:rPr>
        <w:rFonts w:hint="default"/>
      </w:rPr>
    </w:lvl>
    <w:lvl w:ilvl="8" w:tplc="FD3C9106">
      <w:numFmt w:val="bullet"/>
      <w:lvlText w:val="•"/>
      <w:lvlJc w:val="left"/>
      <w:pPr>
        <w:ind w:left="5607" w:hanging="360"/>
      </w:pPr>
      <w:rPr>
        <w:rFonts w:hint="default"/>
      </w:rPr>
    </w:lvl>
  </w:abstractNum>
  <w:abstractNum w:abstractNumId="31"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A39CD"/>
    <w:multiLevelType w:val="hybridMultilevel"/>
    <w:tmpl w:val="5E30E9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B460D0D"/>
    <w:multiLevelType w:val="hybridMultilevel"/>
    <w:tmpl w:val="FA2C23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C8C58BB"/>
    <w:multiLevelType w:val="hybridMultilevel"/>
    <w:tmpl w:val="9B46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D26DD7"/>
    <w:multiLevelType w:val="hybridMultilevel"/>
    <w:tmpl w:val="631CA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3"/>
  </w:num>
  <w:num w:numId="3">
    <w:abstractNumId w:val="17"/>
  </w:num>
  <w:num w:numId="4">
    <w:abstractNumId w:val="24"/>
  </w:num>
  <w:num w:numId="5">
    <w:abstractNumId w:val="7"/>
  </w:num>
  <w:num w:numId="6">
    <w:abstractNumId w:val="9"/>
  </w:num>
  <w:num w:numId="7">
    <w:abstractNumId w:val="16"/>
  </w:num>
  <w:num w:numId="8">
    <w:abstractNumId w:val="31"/>
  </w:num>
  <w:num w:numId="9">
    <w:abstractNumId w:val="18"/>
  </w:num>
  <w:num w:numId="10">
    <w:abstractNumId w:val="14"/>
  </w:num>
  <w:num w:numId="11">
    <w:abstractNumId w:val="22"/>
  </w:num>
  <w:num w:numId="12">
    <w:abstractNumId w:val="32"/>
  </w:num>
  <w:num w:numId="13">
    <w:abstractNumId w:val="8"/>
  </w:num>
  <w:num w:numId="14">
    <w:abstractNumId w:val="20"/>
  </w:num>
  <w:num w:numId="15">
    <w:abstractNumId w:val="12"/>
  </w:num>
  <w:num w:numId="16">
    <w:abstractNumId w:val="27"/>
  </w:num>
  <w:num w:numId="17">
    <w:abstractNumId w:val="19"/>
  </w:num>
  <w:num w:numId="18">
    <w:abstractNumId w:val="11"/>
  </w:num>
  <w:num w:numId="19">
    <w:abstractNumId w:val="34"/>
  </w:num>
  <w:num w:numId="20">
    <w:abstractNumId w:val="10"/>
  </w:num>
  <w:num w:numId="21">
    <w:abstractNumId w:val="2"/>
  </w:num>
  <w:num w:numId="22">
    <w:abstractNumId w:val="33"/>
  </w:num>
  <w:num w:numId="23">
    <w:abstractNumId w:val="28"/>
  </w:num>
  <w:num w:numId="24">
    <w:abstractNumId w:val="5"/>
  </w:num>
  <w:num w:numId="25">
    <w:abstractNumId w:val="36"/>
  </w:num>
  <w:num w:numId="26">
    <w:abstractNumId w:val="4"/>
  </w:num>
  <w:num w:numId="27">
    <w:abstractNumId w:val="3"/>
  </w:num>
  <w:num w:numId="28">
    <w:abstractNumId w:val="26"/>
  </w:num>
  <w:num w:numId="29">
    <w:abstractNumId w:val="30"/>
  </w:num>
  <w:num w:numId="30">
    <w:abstractNumId w:val="6"/>
  </w:num>
  <w:num w:numId="31">
    <w:abstractNumId w:val="29"/>
  </w:num>
  <w:num w:numId="32">
    <w:abstractNumId w:val="23"/>
  </w:num>
  <w:num w:numId="33">
    <w:abstractNumId w:val="25"/>
  </w:num>
  <w:num w:numId="34">
    <w:abstractNumId w:val="0"/>
  </w:num>
  <w:num w:numId="35">
    <w:abstractNumId w:val="1"/>
  </w:num>
  <w:num w:numId="36">
    <w:abstractNumId w:val="1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72"/>
    <w:rsid w:val="00005FA9"/>
    <w:rsid w:val="00013636"/>
    <w:rsid w:val="00020A96"/>
    <w:rsid w:val="00024646"/>
    <w:rsid w:val="00030AAC"/>
    <w:rsid w:val="00030BF3"/>
    <w:rsid w:val="000453BE"/>
    <w:rsid w:val="00047E86"/>
    <w:rsid w:val="00052D34"/>
    <w:rsid w:val="00061C52"/>
    <w:rsid w:val="00063B5B"/>
    <w:rsid w:val="00067F18"/>
    <w:rsid w:val="00070974"/>
    <w:rsid w:val="0007325F"/>
    <w:rsid w:val="000772FE"/>
    <w:rsid w:val="00080809"/>
    <w:rsid w:val="00085F88"/>
    <w:rsid w:val="000941D3"/>
    <w:rsid w:val="00096730"/>
    <w:rsid w:val="000A3052"/>
    <w:rsid w:val="000A33AB"/>
    <w:rsid w:val="000A3910"/>
    <w:rsid w:val="000B0804"/>
    <w:rsid w:val="000B23A6"/>
    <w:rsid w:val="000C5E39"/>
    <w:rsid w:val="000C7B93"/>
    <w:rsid w:val="000E2DF3"/>
    <w:rsid w:val="00103D62"/>
    <w:rsid w:val="00107A16"/>
    <w:rsid w:val="001128DB"/>
    <w:rsid w:val="00117266"/>
    <w:rsid w:val="00126A34"/>
    <w:rsid w:val="00140DB9"/>
    <w:rsid w:val="001544E3"/>
    <w:rsid w:val="00165912"/>
    <w:rsid w:val="00166D95"/>
    <w:rsid w:val="001675BF"/>
    <w:rsid w:val="0018155D"/>
    <w:rsid w:val="00183132"/>
    <w:rsid w:val="00184961"/>
    <w:rsid w:val="00186E74"/>
    <w:rsid w:val="00187796"/>
    <w:rsid w:val="0019334F"/>
    <w:rsid w:val="00193A73"/>
    <w:rsid w:val="001A33F3"/>
    <w:rsid w:val="001A4795"/>
    <w:rsid w:val="001B7003"/>
    <w:rsid w:val="001C2F9B"/>
    <w:rsid w:val="001D1876"/>
    <w:rsid w:val="001D1F26"/>
    <w:rsid w:val="001D79E4"/>
    <w:rsid w:val="001F240B"/>
    <w:rsid w:val="001F2E8A"/>
    <w:rsid w:val="001F4470"/>
    <w:rsid w:val="001F5AD3"/>
    <w:rsid w:val="00211BB7"/>
    <w:rsid w:val="002159BA"/>
    <w:rsid w:val="002214C4"/>
    <w:rsid w:val="002329E3"/>
    <w:rsid w:val="00232C24"/>
    <w:rsid w:val="00235092"/>
    <w:rsid w:val="002426C9"/>
    <w:rsid w:val="002432C1"/>
    <w:rsid w:val="00247280"/>
    <w:rsid w:val="00247838"/>
    <w:rsid w:val="0025061E"/>
    <w:rsid w:val="0025406A"/>
    <w:rsid w:val="00254953"/>
    <w:rsid w:val="00271442"/>
    <w:rsid w:val="00272AB0"/>
    <w:rsid w:val="002760A2"/>
    <w:rsid w:val="00277C3E"/>
    <w:rsid w:val="00281176"/>
    <w:rsid w:val="00285864"/>
    <w:rsid w:val="00287E72"/>
    <w:rsid w:val="00291B42"/>
    <w:rsid w:val="002A3EA0"/>
    <w:rsid w:val="002B09C1"/>
    <w:rsid w:val="002B198F"/>
    <w:rsid w:val="002B278C"/>
    <w:rsid w:val="002B2810"/>
    <w:rsid w:val="002C068C"/>
    <w:rsid w:val="002C09CC"/>
    <w:rsid w:val="002E15DB"/>
    <w:rsid w:val="002E173F"/>
    <w:rsid w:val="00301238"/>
    <w:rsid w:val="00320B09"/>
    <w:rsid w:val="00323AED"/>
    <w:rsid w:val="00331E7C"/>
    <w:rsid w:val="00336C81"/>
    <w:rsid w:val="003568D4"/>
    <w:rsid w:val="00367EB0"/>
    <w:rsid w:val="00373C10"/>
    <w:rsid w:val="00384C95"/>
    <w:rsid w:val="00385C5B"/>
    <w:rsid w:val="00395F66"/>
    <w:rsid w:val="0039668B"/>
    <w:rsid w:val="003A0E24"/>
    <w:rsid w:val="003A39A5"/>
    <w:rsid w:val="003A4D8D"/>
    <w:rsid w:val="003A729F"/>
    <w:rsid w:val="003B0227"/>
    <w:rsid w:val="003B0F63"/>
    <w:rsid w:val="003C0083"/>
    <w:rsid w:val="003C1EF5"/>
    <w:rsid w:val="003C7864"/>
    <w:rsid w:val="003D0C56"/>
    <w:rsid w:val="003F2522"/>
    <w:rsid w:val="003F4199"/>
    <w:rsid w:val="003F5626"/>
    <w:rsid w:val="003F6715"/>
    <w:rsid w:val="003F6F79"/>
    <w:rsid w:val="00406FE7"/>
    <w:rsid w:val="00425F36"/>
    <w:rsid w:val="0044416B"/>
    <w:rsid w:val="00445513"/>
    <w:rsid w:val="004554FE"/>
    <w:rsid w:val="00470637"/>
    <w:rsid w:val="00472F07"/>
    <w:rsid w:val="00483D69"/>
    <w:rsid w:val="00485073"/>
    <w:rsid w:val="004A4A59"/>
    <w:rsid w:val="004A7DC1"/>
    <w:rsid w:val="004B0621"/>
    <w:rsid w:val="004B23AE"/>
    <w:rsid w:val="004B3B04"/>
    <w:rsid w:val="004D6CD2"/>
    <w:rsid w:val="004E70DA"/>
    <w:rsid w:val="00504290"/>
    <w:rsid w:val="005060F0"/>
    <w:rsid w:val="00507573"/>
    <w:rsid w:val="00511053"/>
    <w:rsid w:val="005261AC"/>
    <w:rsid w:val="005266F8"/>
    <w:rsid w:val="00526743"/>
    <w:rsid w:val="00540D3F"/>
    <w:rsid w:val="00542B5C"/>
    <w:rsid w:val="00544261"/>
    <w:rsid w:val="00552C07"/>
    <w:rsid w:val="005549D5"/>
    <w:rsid w:val="00565FD5"/>
    <w:rsid w:val="00566C88"/>
    <w:rsid w:val="00566CCA"/>
    <w:rsid w:val="00570DE2"/>
    <w:rsid w:val="00577141"/>
    <w:rsid w:val="005822BF"/>
    <w:rsid w:val="005906A8"/>
    <w:rsid w:val="005B7DCE"/>
    <w:rsid w:val="005C1674"/>
    <w:rsid w:val="005D191F"/>
    <w:rsid w:val="005D26AB"/>
    <w:rsid w:val="005D7550"/>
    <w:rsid w:val="005E1F8C"/>
    <w:rsid w:val="005E2762"/>
    <w:rsid w:val="005E74C8"/>
    <w:rsid w:val="005F3683"/>
    <w:rsid w:val="005F7795"/>
    <w:rsid w:val="00604296"/>
    <w:rsid w:val="006105FB"/>
    <w:rsid w:val="00622051"/>
    <w:rsid w:val="00643C2F"/>
    <w:rsid w:val="00650DBA"/>
    <w:rsid w:val="00651FFD"/>
    <w:rsid w:val="00652498"/>
    <w:rsid w:val="00652B4F"/>
    <w:rsid w:val="006559AA"/>
    <w:rsid w:val="006563E5"/>
    <w:rsid w:val="00660B6F"/>
    <w:rsid w:val="0067263C"/>
    <w:rsid w:val="00674FA9"/>
    <w:rsid w:val="0068052E"/>
    <w:rsid w:val="00681DF4"/>
    <w:rsid w:val="006907BD"/>
    <w:rsid w:val="00690B12"/>
    <w:rsid w:val="006940EA"/>
    <w:rsid w:val="006A7942"/>
    <w:rsid w:val="006B4E52"/>
    <w:rsid w:val="006C6503"/>
    <w:rsid w:val="006D4434"/>
    <w:rsid w:val="006E1327"/>
    <w:rsid w:val="006E1A24"/>
    <w:rsid w:val="006E1F12"/>
    <w:rsid w:val="006F5958"/>
    <w:rsid w:val="00700BFD"/>
    <w:rsid w:val="00704100"/>
    <w:rsid w:val="0070511C"/>
    <w:rsid w:val="00711C14"/>
    <w:rsid w:val="00715EC7"/>
    <w:rsid w:val="00716549"/>
    <w:rsid w:val="00721280"/>
    <w:rsid w:val="0072165D"/>
    <w:rsid w:val="0073453E"/>
    <w:rsid w:val="007351FB"/>
    <w:rsid w:val="007419AF"/>
    <w:rsid w:val="007569F1"/>
    <w:rsid w:val="00756D2B"/>
    <w:rsid w:val="007610CA"/>
    <w:rsid w:val="007638FB"/>
    <w:rsid w:val="00763F14"/>
    <w:rsid w:val="007706C2"/>
    <w:rsid w:val="00780580"/>
    <w:rsid w:val="00781ED9"/>
    <w:rsid w:val="00786DAE"/>
    <w:rsid w:val="0079010E"/>
    <w:rsid w:val="007B3293"/>
    <w:rsid w:val="007C1DC8"/>
    <w:rsid w:val="007C40C9"/>
    <w:rsid w:val="007C5201"/>
    <w:rsid w:val="007C5D62"/>
    <w:rsid w:val="007C5ECA"/>
    <w:rsid w:val="007D31AF"/>
    <w:rsid w:val="007D70DB"/>
    <w:rsid w:val="007E7525"/>
    <w:rsid w:val="007F17B4"/>
    <w:rsid w:val="007F1C3C"/>
    <w:rsid w:val="007F4ABD"/>
    <w:rsid w:val="008077DC"/>
    <w:rsid w:val="00817FB8"/>
    <w:rsid w:val="00821A84"/>
    <w:rsid w:val="00836359"/>
    <w:rsid w:val="00847388"/>
    <w:rsid w:val="008647E5"/>
    <w:rsid w:val="00865216"/>
    <w:rsid w:val="00867B9A"/>
    <w:rsid w:val="008737D0"/>
    <w:rsid w:val="00877083"/>
    <w:rsid w:val="00880D05"/>
    <w:rsid w:val="00893623"/>
    <w:rsid w:val="008B02D2"/>
    <w:rsid w:val="008B3198"/>
    <w:rsid w:val="008C0333"/>
    <w:rsid w:val="008C33E7"/>
    <w:rsid w:val="008D30C2"/>
    <w:rsid w:val="008D40E1"/>
    <w:rsid w:val="008E2AD8"/>
    <w:rsid w:val="008F436B"/>
    <w:rsid w:val="0090148E"/>
    <w:rsid w:val="00904B67"/>
    <w:rsid w:val="00912B72"/>
    <w:rsid w:val="00931601"/>
    <w:rsid w:val="009402BB"/>
    <w:rsid w:val="0094279A"/>
    <w:rsid w:val="00942BC6"/>
    <w:rsid w:val="00952D06"/>
    <w:rsid w:val="00970BB2"/>
    <w:rsid w:val="00975D31"/>
    <w:rsid w:val="0098202B"/>
    <w:rsid w:val="009820B0"/>
    <w:rsid w:val="009A7485"/>
    <w:rsid w:val="009B0E05"/>
    <w:rsid w:val="009B714C"/>
    <w:rsid w:val="009C115E"/>
    <w:rsid w:val="009C26C3"/>
    <w:rsid w:val="009E034A"/>
    <w:rsid w:val="009E03A4"/>
    <w:rsid w:val="009E049C"/>
    <w:rsid w:val="00A068D7"/>
    <w:rsid w:val="00A13EDE"/>
    <w:rsid w:val="00A166F9"/>
    <w:rsid w:val="00A312AC"/>
    <w:rsid w:val="00A341D2"/>
    <w:rsid w:val="00A36270"/>
    <w:rsid w:val="00A47B93"/>
    <w:rsid w:val="00A51228"/>
    <w:rsid w:val="00A56DE5"/>
    <w:rsid w:val="00A7145C"/>
    <w:rsid w:val="00A81815"/>
    <w:rsid w:val="00A81F2C"/>
    <w:rsid w:val="00A84A33"/>
    <w:rsid w:val="00A93C26"/>
    <w:rsid w:val="00A94197"/>
    <w:rsid w:val="00A95ECC"/>
    <w:rsid w:val="00AA172C"/>
    <w:rsid w:val="00AA7940"/>
    <w:rsid w:val="00AB4396"/>
    <w:rsid w:val="00AB4DED"/>
    <w:rsid w:val="00AC1A1F"/>
    <w:rsid w:val="00AD0FFA"/>
    <w:rsid w:val="00AD2370"/>
    <w:rsid w:val="00AE4B9F"/>
    <w:rsid w:val="00AE63F0"/>
    <w:rsid w:val="00B31A42"/>
    <w:rsid w:val="00B36138"/>
    <w:rsid w:val="00B46310"/>
    <w:rsid w:val="00B46E70"/>
    <w:rsid w:val="00B5466E"/>
    <w:rsid w:val="00B61C65"/>
    <w:rsid w:val="00B636A6"/>
    <w:rsid w:val="00B757BF"/>
    <w:rsid w:val="00B8065B"/>
    <w:rsid w:val="00B93088"/>
    <w:rsid w:val="00B9372F"/>
    <w:rsid w:val="00B96631"/>
    <w:rsid w:val="00B979B5"/>
    <w:rsid w:val="00BA13AC"/>
    <w:rsid w:val="00BB05B4"/>
    <w:rsid w:val="00BB2E6A"/>
    <w:rsid w:val="00BE1E91"/>
    <w:rsid w:val="00BE7502"/>
    <w:rsid w:val="00BF3244"/>
    <w:rsid w:val="00BF5085"/>
    <w:rsid w:val="00BF5F72"/>
    <w:rsid w:val="00C125ED"/>
    <w:rsid w:val="00C2051F"/>
    <w:rsid w:val="00C22E31"/>
    <w:rsid w:val="00C24641"/>
    <w:rsid w:val="00C3612F"/>
    <w:rsid w:val="00C527DB"/>
    <w:rsid w:val="00C54311"/>
    <w:rsid w:val="00CA4546"/>
    <w:rsid w:val="00CC3364"/>
    <w:rsid w:val="00CC665B"/>
    <w:rsid w:val="00CC711D"/>
    <w:rsid w:val="00CD6CE9"/>
    <w:rsid w:val="00CE0E6F"/>
    <w:rsid w:val="00CE62F0"/>
    <w:rsid w:val="00CF3552"/>
    <w:rsid w:val="00D04D31"/>
    <w:rsid w:val="00D10951"/>
    <w:rsid w:val="00D12B71"/>
    <w:rsid w:val="00D1461F"/>
    <w:rsid w:val="00D1584F"/>
    <w:rsid w:val="00D33A2E"/>
    <w:rsid w:val="00D43A62"/>
    <w:rsid w:val="00D447B9"/>
    <w:rsid w:val="00D45277"/>
    <w:rsid w:val="00D4666A"/>
    <w:rsid w:val="00D530E6"/>
    <w:rsid w:val="00D53446"/>
    <w:rsid w:val="00D5592C"/>
    <w:rsid w:val="00D60E51"/>
    <w:rsid w:val="00D9219F"/>
    <w:rsid w:val="00D93F88"/>
    <w:rsid w:val="00D9563A"/>
    <w:rsid w:val="00DA5E83"/>
    <w:rsid w:val="00DA6E14"/>
    <w:rsid w:val="00DB40D1"/>
    <w:rsid w:val="00DD004E"/>
    <w:rsid w:val="00DD031A"/>
    <w:rsid w:val="00DD672B"/>
    <w:rsid w:val="00DE23A8"/>
    <w:rsid w:val="00E03090"/>
    <w:rsid w:val="00E0313E"/>
    <w:rsid w:val="00E039DC"/>
    <w:rsid w:val="00E15EFD"/>
    <w:rsid w:val="00E20F56"/>
    <w:rsid w:val="00E22121"/>
    <w:rsid w:val="00E246FE"/>
    <w:rsid w:val="00E329A6"/>
    <w:rsid w:val="00E43204"/>
    <w:rsid w:val="00E46469"/>
    <w:rsid w:val="00E46713"/>
    <w:rsid w:val="00E57140"/>
    <w:rsid w:val="00E602D4"/>
    <w:rsid w:val="00E76BA5"/>
    <w:rsid w:val="00E865CB"/>
    <w:rsid w:val="00EA22A4"/>
    <w:rsid w:val="00EC3EF0"/>
    <w:rsid w:val="00EC4A1F"/>
    <w:rsid w:val="00EF4BB7"/>
    <w:rsid w:val="00EF7B9D"/>
    <w:rsid w:val="00F00162"/>
    <w:rsid w:val="00F10EEE"/>
    <w:rsid w:val="00F155BC"/>
    <w:rsid w:val="00F272AA"/>
    <w:rsid w:val="00F30D07"/>
    <w:rsid w:val="00F33BF7"/>
    <w:rsid w:val="00F35EF9"/>
    <w:rsid w:val="00F431F9"/>
    <w:rsid w:val="00F47356"/>
    <w:rsid w:val="00F47A97"/>
    <w:rsid w:val="00F51C93"/>
    <w:rsid w:val="00F6429B"/>
    <w:rsid w:val="00F65ABC"/>
    <w:rsid w:val="00F71AA9"/>
    <w:rsid w:val="00F74D05"/>
    <w:rsid w:val="00F75AAF"/>
    <w:rsid w:val="00F8036B"/>
    <w:rsid w:val="00F817C9"/>
    <w:rsid w:val="00F85725"/>
    <w:rsid w:val="00F904CC"/>
    <w:rsid w:val="00F90E91"/>
    <w:rsid w:val="00F957E7"/>
    <w:rsid w:val="00FA09D4"/>
    <w:rsid w:val="00FA31E7"/>
    <w:rsid w:val="00FB3025"/>
    <w:rsid w:val="00FC410E"/>
    <w:rsid w:val="00FC42BE"/>
    <w:rsid w:val="00FC5E54"/>
    <w:rsid w:val="00FC679E"/>
    <w:rsid w:val="00FD32AA"/>
    <w:rsid w:val="00FD598E"/>
    <w:rsid w:val="00FD76F3"/>
    <w:rsid w:val="00FE0EF4"/>
    <w:rsid w:val="00FF2A57"/>
    <w:rsid w:val="00FF3EDD"/>
    <w:rsid w:val="0323A4E0"/>
    <w:rsid w:val="0CBFF2A6"/>
    <w:rsid w:val="1A606EAF"/>
    <w:rsid w:val="1C438DEB"/>
    <w:rsid w:val="2D0FFFB9"/>
    <w:rsid w:val="43DAEC5A"/>
    <w:rsid w:val="47EC9D32"/>
    <w:rsid w:val="49060799"/>
    <w:rsid w:val="4FD6FED6"/>
    <w:rsid w:val="5172CF37"/>
    <w:rsid w:val="53AC0BA2"/>
    <w:rsid w:val="5C5BB9AB"/>
    <w:rsid w:val="6137D553"/>
    <w:rsid w:val="743E1F89"/>
    <w:rsid w:val="74599909"/>
    <w:rsid w:val="7C753124"/>
    <w:rsid w:val="7CBD0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23A67"/>
  <w14:defaultImageDpi w14:val="300"/>
  <w15:docId w15:val="{0AA3817D-1D46-452B-A2C2-D3D0D851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B7"/>
    <w:pPr>
      <w:spacing w:line="360" w:lineRule="auto"/>
    </w:pPr>
    <w:rPr>
      <w:rFonts w:ascii="Arial" w:eastAsia="Times New Roman" w:hAnsi="Arial"/>
      <w:sz w:val="22"/>
      <w:lang w:val="en-GB"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3C1EF5"/>
    <w:pPr>
      <w:keepNext/>
      <w:keepLines/>
      <w:spacing w:before="240"/>
      <w:outlineLvl w:val="1"/>
    </w:pPr>
    <w:rPr>
      <w:color w:val="004071"/>
      <w:sz w:val="26"/>
      <w:szCs w:val="26"/>
    </w:rPr>
  </w:style>
  <w:style w:type="paragraph" w:styleId="Heading3">
    <w:name w:val="heading 3"/>
    <w:basedOn w:val="Normal"/>
    <w:next w:val="Normal"/>
    <w:link w:val="Heading3Char"/>
    <w:uiPriority w:val="9"/>
    <w:unhideWhenUsed/>
    <w:qFormat/>
    <w:rsid w:val="00F817C9"/>
    <w:pPr>
      <w:keepNext/>
      <w:keepLines/>
      <w:spacing w:before="40"/>
      <w:outlineLvl w:val="2"/>
    </w:pPr>
    <w:rPr>
      <w:color w:val="002A4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3C1EF5"/>
    <w:rPr>
      <w:rFonts w:ascii="Arial" w:eastAsia="Times New Roman" w:hAnsi="Arial"/>
      <w:color w:val="004071"/>
      <w:sz w:val="26"/>
      <w:szCs w:val="26"/>
      <w:lang w:eastAsia="en-US"/>
    </w:rPr>
  </w:style>
  <w:style w:type="character" w:customStyle="1" w:styleId="Heading3Char">
    <w:name w:val="Heading 3 Char"/>
    <w:link w:val="Heading3"/>
    <w:uiPriority w:val="9"/>
    <w:rsid w:val="00F817C9"/>
    <w:rPr>
      <w:rFonts w:ascii="Arial" w:eastAsia="Times New Roman" w:hAnsi="Arial"/>
      <w:color w:val="002A4B"/>
      <w:sz w:val="22"/>
      <w:szCs w:val="22"/>
      <w:lang w:eastAsia="en-US"/>
    </w:rPr>
  </w:style>
  <w:style w:type="character" w:customStyle="1" w:styleId="UnresolvedMention1">
    <w:name w:val="Unresolved Mention1"/>
    <w:uiPriority w:val="99"/>
    <w:semiHidden/>
    <w:unhideWhenUsed/>
    <w:rsid w:val="00186E74"/>
    <w:rPr>
      <w:color w:val="605E5C"/>
      <w:shd w:val="clear" w:color="auto" w:fill="E1DFDD"/>
    </w:rPr>
  </w:style>
  <w:style w:type="character" w:styleId="CommentReference">
    <w:name w:val="annotation reference"/>
    <w:uiPriority w:val="99"/>
    <w:semiHidden/>
    <w:unhideWhenUsed/>
    <w:rsid w:val="00096730"/>
    <w:rPr>
      <w:sz w:val="16"/>
      <w:szCs w:val="16"/>
    </w:rPr>
  </w:style>
  <w:style w:type="paragraph" w:styleId="CommentText">
    <w:name w:val="annotation text"/>
    <w:basedOn w:val="Normal"/>
    <w:link w:val="CommentTextChar"/>
    <w:uiPriority w:val="99"/>
    <w:unhideWhenUsed/>
    <w:rsid w:val="00096730"/>
    <w:rPr>
      <w:sz w:val="20"/>
    </w:rPr>
  </w:style>
  <w:style w:type="character" w:customStyle="1" w:styleId="CommentTextChar">
    <w:name w:val="Comment Text Char"/>
    <w:link w:val="CommentText"/>
    <w:uiPriority w:val="99"/>
    <w:rsid w:val="00096730"/>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096730"/>
    <w:rPr>
      <w:b/>
      <w:bCs/>
    </w:rPr>
  </w:style>
  <w:style w:type="character" w:customStyle="1" w:styleId="CommentSubjectChar">
    <w:name w:val="Comment Subject Char"/>
    <w:link w:val="CommentSubject"/>
    <w:uiPriority w:val="99"/>
    <w:semiHidden/>
    <w:rsid w:val="00096730"/>
    <w:rPr>
      <w:rFonts w:ascii="Arial" w:eastAsia="Times New Roman" w:hAnsi="Arial"/>
      <w:b/>
      <w:bCs/>
      <w:lang w:eastAsia="en-US"/>
    </w:rPr>
  </w:style>
  <w:style w:type="paragraph" w:customStyle="1" w:styleId="TableParagraph">
    <w:name w:val="Table Paragraph"/>
    <w:basedOn w:val="Normal"/>
    <w:uiPriority w:val="1"/>
    <w:qFormat/>
    <w:rsid w:val="00F10EEE"/>
    <w:pPr>
      <w:widowControl w:val="0"/>
      <w:autoSpaceDE w:val="0"/>
      <w:autoSpaceDN w:val="0"/>
      <w:spacing w:line="240" w:lineRule="auto"/>
    </w:pPr>
    <w:rPr>
      <w:rFonts w:ascii="Calibri" w:eastAsia="Calibri" w:hAnsi="Calibri" w:cs="Calibri"/>
      <w:szCs w:val="22"/>
      <w:lang w:val="en-US"/>
    </w:rPr>
  </w:style>
  <w:style w:type="paragraph" w:styleId="Revision">
    <w:name w:val="Revision"/>
    <w:hidden/>
    <w:uiPriority w:val="99"/>
    <w:semiHidden/>
    <w:rsid w:val="003B0227"/>
    <w:rPr>
      <w:rFonts w:ascii="Arial" w:eastAsia="Times New Roman" w:hAnsi="Arial"/>
      <w:sz w:val="22"/>
      <w:lang w:val="en-GB" w:eastAsia="en-US"/>
    </w:rPr>
  </w:style>
  <w:style w:type="paragraph" w:customStyle="1" w:styleId="Pa1">
    <w:name w:val="Pa1"/>
    <w:basedOn w:val="Normal"/>
    <w:next w:val="Normal"/>
    <w:uiPriority w:val="99"/>
    <w:rsid w:val="00652498"/>
    <w:pPr>
      <w:autoSpaceDE w:val="0"/>
      <w:autoSpaceDN w:val="0"/>
      <w:adjustRightInd w:val="0"/>
      <w:spacing w:line="241" w:lineRule="atLeast"/>
    </w:pPr>
    <w:rPr>
      <w:rFonts w:ascii="Gotham Medium" w:eastAsia="MS Mincho" w:hAnsi="Gotham Medium"/>
      <w:sz w:val="24"/>
      <w:szCs w:val="24"/>
      <w:lang w:val="en-AU" w:eastAsia="en-AU"/>
    </w:rPr>
  </w:style>
  <w:style w:type="paragraph" w:customStyle="1" w:styleId="Pa3">
    <w:name w:val="Pa3"/>
    <w:basedOn w:val="Normal"/>
    <w:next w:val="Normal"/>
    <w:uiPriority w:val="99"/>
    <w:rsid w:val="00652498"/>
    <w:pPr>
      <w:autoSpaceDE w:val="0"/>
      <w:autoSpaceDN w:val="0"/>
      <w:adjustRightInd w:val="0"/>
      <w:spacing w:line="181" w:lineRule="atLeast"/>
    </w:pPr>
    <w:rPr>
      <w:rFonts w:ascii="Gotham Medium" w:eastAsia="MS Mincho" w:hAnsi="Gotham Medium"/>
      <w:sz w:val="24"/>
      <w:szCs w:val="24"/>
      <w:lang w:val="en-AU" w:eastAsia="en-AU"/>
    </w:rPr>
  </w:style>
  <w:style w:type="character" w:styleId="UnresolvedMention">
    <w:name w:val="Unresolved Mention"/>
    <w:basedOn w:val="DefaultParagraphFont"/>
    <w:uiPriority w:val="99"/>
    <w:semiHidden/>
    <w:unhideWhenUsed/>
    <w:rsid w:val="00652B4F"/>
    <w:rPr>
      <w:color w:val="605E5C"/>
      <w:shd w:val="clear" w:color="auto" w:fill="E1DFDD"/>
    </w:rPr>
  </w:style>
  <w:style w:type="character" w:styleId="FollowedHyperlink">
    <w:name w:val="FollowedHyperlink"/>
    <w:basedOn w:val="DefaultParagraphFont"/>
    <w:uiPriority w:val="99"/>
    <w:semiHidden/>
    <w:unhideWhenUsed/>
    <w:rsid w:val="00F33B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47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biosciences/people/sally.eldeghaidy" TargetMode="External"/><Relationship Id="rId18" Type="http://schemas.openxmlformats.org/officeDocument/2006/relationships/hyperlink" Target="https://www.adelaide.edu.au/global-engagement/international-partnerships/adelaide-nottingham-allian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delaide.edu.au/legalandrisk/compliance/foreign-compliance-obligations" TargetMode="External"/><Relationship Id="rId7" Type="http://schemas.openxmlformats.org/officeDocument/2006/relationships/settings" Target="settings.xml"/><Relationship Id="rId12" Type="http://schemas.openxmlformats.org/officeDocument/2006/relationships/hyperlink" Target="https://researchers.adelaide.edu.au/profile/christopher.ford" TargetMode="External"/><Relationship Id="rId17" Type="http://schemas.openxmlformats.org/officeDocument/2006/relationships/hyperlink" Target="https://www.nottingham.ac.uk/global/partnerships/featured/adelaide-nottingham-alliance/index.asp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esearchers.adelaide.edu.au/profile/veronica.soebarto" TargetMode="External"/><Relationship Id="rId20" Type="http://schemas.openxmlformats.org/officeDocument/2006/relationships/hyperlink" Target="mailto:globalengagement@adelaide.edu.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biosciences/people/ian.fis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ottingham.ac.uk/engineering/people/eleanor.binner" TargetMode="External"/><Relationship Id="rId23" Type="http://schemas.openxmlformats.org/officeDocument/2006/relationships/hyperlink" Target="mailto:globalengagement@adelaide.edu.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uonglobal@nottingham.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ers.adelaide.edu.au/profile/amanda.page" TargetMode="External"/><Relationship Id="rId22" Type="http://schemas.openxmlformats.org/officeDocument/2006/relationships/hyperlink" Target="mailto:uonglobal@nottingham.ac.uk"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cmf1\Downloads\UoN_Report_template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C9EE549BAE44980ACBBE3E6900715" ma:contentTypeVersion="16" ma:contentTypeDescription="Create a new document." ma:contentTypeScope="" ma:versionID="0dce7525eb231dd7dc002feae43a321c">
  <xsd:schema xmlns:xsd="http://www.w3.org/2001/XMLSchema" xmlns:xs="http://www.w3.org/2001/XMLSchema" xmlns:p="http://schemas.microsoft.com/office/2006/metadata/properties" xmlns:ns2="f6c89bb1-9b73-4b9a-b572-d7c96ec490e7" xmlns:ns3="a9acee17-0db2-42ca-b3ef-9f9ae50ebb60" targetNamespace="http://schemas.microsoft.com/office/2006/metadata/properties" ma:root="true" ma:fieldsID="5dbeab518eeaf89fea05083ee3069230" ns2:_="" ns3:_="">
    <xsd:import namespace="f6c89bb1-9b73-4b9a-b572-d7c96ec490e7"/>
    <xsd:import namespace="a9acee17-0db2-42ca-b3ef-9f9ae50ebb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9bb1-9b73-4b9a-b572-d7c96ec49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cee17-0db2-42ca-b3ef-9f9ae50ebb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13ca8-e06f-4cf2-a415-e9e084537692}" ma:internalName="TaxCatchAll" ma:showField="CatchAllData" ma:web="a9acee17-0db2-42ca-b3ef-9f9ae50eb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c89bb1-9b73-4b9a-b572-d7c96ec490e7">
      <Terms xmlns="http://schemas.microsoft.com/office/infopath/2007/PartnerControls"/>
    </lcf76f155ced4ddcb4097134ff3c332f>
    <TaxCatchAll xmlns="a9acee17-0db2-42ca-b3ef-9f9ae50ebb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1D4C-5046-4C5A-84BD-BD360FD7BDC3}">
  <ds:schemaRefs>
    <ds:schemaRef ds:uri="http://schemas.microsoft.com/sharepoint/v3/contenttype/forms"/>
  </ds:schemaRefs>
</ds:datastoreItem>
</file>

<file path=customXml/itemProps2.xml><?xml version="1.0" encoding="utf-8"?>
<ds:datastoreItem xmlns:ds="http://schemas.openxmlformats.org/officeDocument/2006/customXml" ds:itemID="{88C0122C-DBD5-41EB-8E3B-3177BEC0F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9bb1-9b73-4b9a-b572-d7c96ec490e7"/>
    <ds:schemaRef ds:uri="a9acee17-0db2-42ca-b3ef-9f9ae50eb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9C5A3-2D09-46EE-8151-374ACD50C3D2}">
  <ds:schemaRefs>
    <ds:schemaRef ds:uri="http://schemas.microsoft.com/office/2006/metadata/properties"/>
    <ds:schemaRef ds:uri="http://schemas.microsoft.com/office/infopath/2007/PartnerControls"/>
    <ds:schemaRef ds:uri="f6c89bb1-9b73-4b9a-b572-d7c96ec490e7"/>
    <ds:schemaRef ds:uri="a9acee17-0db2-42ca-b3ef-9f9ae50ebb60"/>
  </ds:schemaRefs>
</ds:datastoreItem>
</file>

<file path=customXml/itemProps4.xml><?xml version="1.0" encoding="utf-8"?>
<ds:datastoreItem xmlns:ds="http://schemas.openxmlformats.org/officeDocument/2006/customXml" ds:itemID="{2D0CAB8D-D38C-4394-8484-44677DE7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UoN_Report_template_March 2018 FINAL.dot</Template>
  <TotalTime>3</TotalTime>
  <Pages>6</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Froggatt</dc:creator>
  <cp:keywords/>
  <dc:description/>
  <cp:lastModifiedBy>Isabel Bleach (staff)</cp:lastModifiedBy>
  <cp:revision>6</cp:revision>
  <cp:lastPrinted>2017-02-28T13:21:00Z</cp:lastPrinted>
  <dcterms:created xsi:type="dcterms:W3CDTF">2023-03-17T01:54:00Z</dcterms:created>
  <dcterms:modified xsi:type="dcterms:W3CDTF">2023-03-17T10:46:00Z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0x01010077EC9EE549BAE44980ACBBE3E6900715</vt:lpwstr>
  </property>
  <property fmtid="{D5CDD505-2E9C-101B-9397-08002B2CF9AE}" pid="3" name="MediaServiceImageTags">
    <vt:lpwstr/>
  </property>
</Properties>
</file>