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76825D86" w:rsidR="001A4302" w:rsidRPr="007D4154" w:rsidRDefault="004C195C"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63AB336C" w:rsidR="001A4302" w:rsidRPr="00CE69FA" w:rsidRDefault="00D34125"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ELECTRICAL</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EE5EFF">
      <w:pPr>
        <w:spacing w:after="0" w:line="240" w:lineRule="auto"/>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3C297B75"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D34125">
        <w:rPr>
          <w:rFonts w:ascii="Arial Narrow" w:hAnsi="Arial Narrow" w:cs="Arial"/>
          <w:b/>
          <w:bCs/>
        </w:rPr>
        <w:t>Electrical</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70E01E88"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B21426" w:rsidRPr="00B21426">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FF7492" w:rsidRPr="00CA1098" w14:paraId="0B5E6AB1" w14:textId="77777777" w:rsidTr="00560F51">
        <w:trPr>
          <w:trHeight w:val="386"/>
        </w:trPr>
        <w:tc>
          <w:tcPr>
            <w:tcW w:w="5103" w:type="dxa"/>
            <w:shd w:val="clear" w:color="auto" w:fill="DAEEF3" w:themeFill="accent5" w:themeFillTint="33"/>
          </w:tcPr>
          <w:p w14:paraId="446F793E" w14:textId="204CD46F" w:rsidR="00FF7492" w:rsidRPr="00711BD1" w:rsidRDefault="00FF7492" w:rsidP="00560F51">
            <w:pPr>
              <w:rPr>
                <w:rFonts w:ascii="Arial Narrow" w:hAnsi="Arial Narrow" w:cs="Arial"/>
              </w:rPr>
            </w:pPr>
            <w:r>
              <w:rPr>
                <w:rFonts w:ascii="Arial Narrow" w:hAnsi="Arial Narrow" w:cs="Arial"/>
              </w:rPr>
              <w:t>Audio Visual Manual</w:t>
            </w:r>
          </w:p>
        </w:tc>
        <w:tc>
          <w:tcPr>
            <w:tcW w:w="3261" w:type="dxa"/>
          </w:tcPr>
          <w:p w14:paraId="038B202F" w14:textId="77777777" w:rsidR="00FF7492" w:rsidRPr="00CA1098" w:rsidRDefault="00FF7492"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0C9F3F51" w:rsidR="00D03036" w:rsidRDefault="00D03036" w:rsidP="00D03036">
      <w:pPr>
        <w:numPr>
          <w:ilvl w:val="0"/>
          <w:numId w:val="5"/>
        </w:numPr>
        <w:contextualSpacing/>
        <w:jc w:val="both"/>
        <w:rPr>
          <w:rFonts w:ascii="Arial Narrow" w:hAnsi="Arial Narrow" w:cs="Arial"/>
        </w:rPr>
      </w:pPr>
      <w:r>
        <w:rPr>
          <w:rFonts w:ascii="Arial Narrow" w:hAnsi="Arial Narrow" w:cs="Arial"/>
        </w:rPr>
        <w:t>Project Specific Location</w:t>
      </w:r>
      <w:r w:rsidR="004C195C">
        <w:rPr>
          <w:rFonts w:ascii="Arial Narrow" w:hAnsi="Arial Narrow" w:cs="Arial"/>
        </w:rPr>
        <w:t xml:space="preserve"> (Campus / Building / Floor / Room)</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711D613A"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Pr>
          <w:rFonts w:ascii="Arial Narrow" w:hAnsi="Arial Narrow" w:cs="Arial"/>
        </w:rPr>
        <w:t xml:space="preserve"> </w:t>
      </w:r>
      <w:r w:rsidR="00FF7492">
        <w:rPr>
          <w:rFonts w:ascii="Arial Narrow" w:hAnsi="Arial Narrow" w:cs="Arial"/>
        </w:rPr>
        <w:t xml:space="preserve">/ Separable portions </w:t>
      </w:r>
      <w:r>
        <w:rPr>
          <w:rFonts w:ascii="Arial Narrow" w:hAnsi="Arial Narrow" w:cs="Arial"/>
        </w:rPr>
        <w:t>(if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4C195C" w:rsidRPr="00C073B2" w14:paraId="05DAD012" w14:textId="77777777" w:rsidTr="007A5A2F">
        <w:trPr>
          <w:trHeight w:val="711"/>
        </w:trPr>
        <w:tc>
          <w:tcPr>
            <w:tcW w:w="2122" w:type="dxa"/>
            <w:shd w:val="clear" w:color="auto" w:fill="DAEEF3" w:themeFill="accent5" w:themeFillTint="33"/>
          </w:tcPr>
          <w:p w14:paraId="6672F40A"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63091C91"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6F99C6F5"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79728E80"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3AD1BB1D"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1B040FB2" w14:textId="77777777" w:rsidR="004C195C" w:rsidRPr="00C073B2" w:rsidRDefault="004C195C"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4C195C" w:rsidRPr="00C073B2" w14:paraId="2C88E983" w14:textId="77777777" w:rsidTr="007A5A2F">
        <w:trPr>
          <w:trHeight w:val="548"/>
        </w:trPr>
        <w:tc>
          <w:tcPr>
            <w:tcW w:w="2122" w:type="dxa"/>
            <w:shd w:val="clear" w:color="auto" w:fill="DAEEF3" w:themeFill="accent5" w:themeFillTint="33"/>
          </w:tcPr>
          <w:p w14:paraId="366D030E" w14:textId="77777777" w:rsidR="004C195C" w:rsidRPr="00C073B2" w:rsidRDefault="004C195C"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0F1AF2A0" w14:textId="77777777" w:rsidR="004C195C" w:rsidRPr="00C073B2" w:rsidRDefault="004C195C" w:rsidP="007A5A2F">
            <w:pPr>
              <w:rPr>
                <w:rFonts w:ascii="Arial Narrow" w:eastAsiaTheme="majorEastAsia" w:hAnsi="Arial Narrow" w:cs="Arial"/>
                <w:b/>
              </w:rPr>
            </w:pPr>
          </w:p>
        </w:tc>
        <w:tc>
          <w:tcPr>
            <w:tcW w:w="2291" w:type="dxa"/>
          </w:tcPr>
          <w:p w14:paraId="17DAA2FE" w14:textId="77777777" w:rsidR="004C195C" w:rsidRPr="00C073B2" w:rsidRDefault="004C195C" w:rsidP="007A5A2F">
            <w:pPr>
              <w:rPr>
                <w:rFonts w:ascii="Arial Narrow" w:eastAsiaTheme="majorEastAsia" w:hAnsi="Arial Narrow" w:cs="Arial"/>
                <w:b/>
              </w:rPr>
            </w:pPr>
          </w:p>
        </w:tc>
        <w:tc>
          <w:tcPr>
            <w:tcW w:w="2291" w:type="dxa"/>
          </w:tcPr>
          <w:p w14:paraId="39ABACF6" w14:textId="77777777" w:rsidR="004C195C" w:rsidRPr="00C073B2" w:rsidRDefault="004C195C" w:rsidP="007A5A2F">
            <w:pPr>
              <w:rPr>
                <w:rFonts w:ascii="Arial Narrow" w:eastAsiaTheme="majorEastAsia" w:hAnsi="Arial Narrow" w:cs="Arial"/>
                <w:b/>
              </w:rPr>
            </w:pPr>
          </w:p>
        </w:tc>
        <w:tc>
          <w:tcPr>
            <w:tcW w:w="2291" w:type="dxa"/>
          </w:tcPr>
          <w:p w14:paraId="0A17262C" w14:textId="77777777" w:rsidR="004C195C" w:rsidRPr="00C073B2" w:rsidRDefault="004C195C" w:rsidP="007A5A2F">
            <w:pPr>
              <w:rPr>
                <w:rFonts w:ascii="Arial Narrow" w:eastAsiaTheme="majorEastAsia" w:hAnsi="Arial Narrow" w:cs="Arial"/>
                <w:b/>
              </w:rPr>
            </w:pPr>
          </w:p>
        </w:tc>
        <w:tc>
          <w:tcPr>
            <w:tcW w:w="2291" w:type="dxa"/>
          </w:tcPr>
          <w:p w14:paraId="3520206E" w14:textId="77777777" w:rsidR="004C195C" w:rsidRPr="00C073B2" w:rsidRDefault="004C195C" w:rsidP="007A5A2F">
            <w:pPr>
              <w:rPr>
                <w:rFonts w:ascii="Arial Narrow" w:eastAsiaTheme="majorEastAsia" w:hAnsi="Arial Narrow" w:cs="Arial"/>
                <w:b/>
              </w:rPr>
            </w:pPr>
          </w:p>
        </w:tc>
      </w:tr>
      <w:tr w:rsidR="004C195C" w:rsidRPr="00C073B2" w14:paraId="6A7BD2D5" w14:textId="77777777" w:rsidTr="007A5A2F">
        <w:trPr>
          <w:trHeight w:val="548"/>
        </w:trPr>
        <w:tc>
          <w:tcPr>
            <w:tcW w:w="2122" w:type="dxa"/>
            <w:shd w:val="clear" w:color="auto" w:fill="DAEEF3" w:themeFill="accent5" w:themeFillTint="33"/>
          </w:tcPr>
          <w:p w14:paraId="1B73205B" w14:textId="77777777" w:rsidR="004C195C" w:rsidRPr="00C073B2" w:rsidRDefault="004C195C" w:rsidP="007A5A2F">
            <w:pPr>
              <w:rPr>
                <w:rFonts w:ascii="Arial Narrow" w:hAnsi="Arial Narrow" w:cs="Arial"/>
              </w:rPr>
            </w:pPr>
            <w:r w:rsidRPr="00C073B2">
              <w:rPr>
                <w:rFonts w:ascii="Arial Narrow" w:hAnsi="Arial Narrow" w:cs="Arial"/>
              </w:rPr>
              <w:t>Consultant</w:t>
            </w:r>
          </w:p>
        </w:tc>
        <w:tc>
          <w:tcPr>
            <w:tcW w:w="2459" w:type="dxa"/>
          </w:tcPr>
          <w:p w14:paraId="2AAD0DC4" w14:textId="77777777" w:rsidR="004C195C" w:rsidRPr="00C073B2" w:rsidRDefault="004C195C" w:rsidP="007A5A2F">
            <w:pPr>
              <w:rPr>
                <w:rFonts w:ascii="Arial Narrow" w:eastAsiaTheme="majorEastAsia" w:hAnsi="Arial Narrow" w:cs="Arial"/>
                <w:b/>
              </w:rPr>
            </w:pPr>
          </w:p>
        </w:tc>
        <w:tc>
          <w:tcPr>
            <w:tcW w:w="2291" w:type="dxa"/>
          </w:tcPr>
          <w:p w14:paraId="4BF5CF5A" w14:textId="77777777" w:rsidR="004C195C" w:rsidRPr="00C073B2" w:rsidRDefault="004C195C" w:rsidP="007A5A2F">
            <w:pPr>
              <w:rPr>
                <w:rFonts w:ascii="Arial Narrow" w:eastAsiaTheme="majorEastAsia" w:hAnsi="Arial Narrow" w:cs="Arial"/>
                <w:b/>
              </w:rPr>
            </w:pPr>
          </w:p>
        </w:tc>
        <w:tc>
          <w:tcPr>
            <w:tcW w:w="2291" w:type="dxa"/>
          </w:tcPr>
          <w:p w14:paraId="30207D8C" w14:textId="77777777" w:rsidR="004C195C" w:rsidRPr="00C073B2" w:rsidRDefault="004C195C" w:rsidP="007A5A2F">
            <w:pPr>
              <w:rPr>
                <w:rFonts w:ascii="Arial Narrow" w:eastAsiaTheme="majorEastAsia" w:hAnsi="Arial Narrow" w:cs="Arial"/>
                <w:b/>
              </w:rPr>
            </w:pPr>
          </w:p>
        </w:tc>
        <w:tc>
          <w:tcPr>
            <w:tcW w:w="2291" w:type="dxa"/>
          </w:tcPr>
          <w:p w14:paraId="697D3322" w14:textId="77777777" w:rsidR="004C195C" w:rsidRPr="00C073B2" w:rsidRDefault="004C195C" w:rsidP="007A5A2F">
            <w:pPr>
              <w:rPr>
                <w:rFonts w:ascii="Arial Narrow" w:eastAsiaTheme="majorEastAsia" w:hAnsi="Arial Narrow" w:cs="Arial"/>
                <w:b/>
              </w:rPr>
            </w:pPr>
          </w:p>
        </w:tc>
        <w:tc>
          <w:tcPr>
            <w:tcW w:w="2291" w:type="dxa"/>
          </w:tcPr>
          <w:p w14:paraId="031F7FF0" w14:textId="77777777" w:rsidR="004C195C" w:rsidRPr="00C073B2" w:rsidRDefault="004C195C" w:rsidP="007A5A2F">
            <w:pPr>
              <w:rPr>
                <w:rFonts w:ascii="Arial Narrow" w:eastAsiaTheme="majorEastAsia" w:hAnsi="Arial Narrow" w:cs="Arial"/>
                <w:b/>
              </w:rPr>
            </w:pPr>
          </w:p>
        </w:tc>
      </w:tr>
      <w:tr w:rsidR="004C195C" w:rsidRPr="00C073B2" w14:paraId="676B5A52" w14:textId="77777777" w:rsidTr="007A5A2F">
        <w:trPr>
          <w:trHeight w:val="548"/>
        </w:trPr>
        <w:tc>
          <w:tcPr>
            <w:tcW w:w="2122" w:type="dxa"/>
            <w:shd w:val="clear" w:color="auto" w:fill="DAEEF3" w:themeFill="accent5" w:themeFillTint="33"/>
          </w:tcPr>
          <w:p w14:paraId="2B541B83" w14:textId="77777777" w:rsidR="004C195C" w:rsidRPr="00C073B2" w:rsidRDefault="004C195C" w:rsidP="007A5A2F">
            <w:pPr>
              <w:rPr>
                <w:rFonts w:ascii="Arial Narrow" w:hAnsi="Arial Narrow" w:cs="Arial"/>
              </w:rPr>
            </w:pPr>
            <w:r w:rsidRPr="00C073B2">
              <w:rPr>
                <w:rFonts w:ascii="Arial Narrow" w:hAnsi="Arial Narrow" w:cs="Arial"/>
              </w:rPr>
              <w:t>UoA Project Manager</w:t>
            </w:r>
          </w:p>
        </w:tc>
        <w:tc>
          <w:tcPr>
            <w:tcW w:w="2459" w:type="dxa"/>
          </w:tcPr>
          <w:p w14:paraId="54B02ACF" w14:textId="77777777" w:rsidR="004C195C" w:rsidRPr="00C073B2" w:rsidRDefault="004C195C" w:rsidP="007A5A2F">
            <w:pPr>
              <w:rPr>
                <w:rFonts w:ascii="Arial Narrow" w:eastAsiaTheme="majorEastAsia" w:hAnsi="Arial Narrow" w:cs="Arial"/>
                <w:b/>
              </w:rPr>
            </w:pPr>
          </w:p>
        </w:tc>
        <w:tc>
          <w:tcPr>
            <w:tcW w:w="2291" w:type="dxa"/>
          </w:tcPr>
          <w:p w14:paraId="05672636" w14:textId="77777777" w:rsidR="004C195C" w:rsidRPr="00C073B2" w:rsidRDefault="004C195C" w:rsidP="007A5A2F">
            <w:pPr>
              <w:rPr>
                <w:rFonts w:ascii="Arial Narrow" w:eastAsiaTheme="majorEastAsia" w:hAnsi="Arial Narrow" w:cs="Arial"/>
                <w:b/>
              </w:rPr>
            </w:pPr>
          </w:p>
        </w:tc>
        <w:tc>
          <w:tcPr>
            <w:tcW w:w="2291" w:type="dxa"/>
          </w:tcPr>
          <w:p w14:paraId="6131A561" w14:textId="77777777" w:rsidR="004C195C" w:rsidRPr="00C073B2" w:rsidRDefault="004C195C" w:rsidP="007A5A2F">
            <w:pPr>
              <w:rPr>
                <w:rFonts w:ascii="Arial Narrow" w:eastAsiaTheme="majorEastAsia" w:hAnsi="Arial Narrow" w:cs="Arial"/>
                <w:b/>
              </w:rPr>
            </w:pPr>
          </w:p>
        </w:tc>
        <w:tc>
          <w:tcPr>
            <w:tcW w:w="2291" w:type="dxa"/>
          </w:tcPr>
          <w:p w14:paraId="48A26A2E" w14:textId="77777777" w:rsidR="004C195C" w:rsidRPr="00C073B2" w:rsidRDefault="004C195C" w:rsidP="007A5A2F">
            <w:pPr>
              <w:rPr>
                <w:rFonts w:ascii="Arial Narrow" w:eastAsiaTheme="majorEastAsia" w:hAnsi="Arial Narrow" w:cs="Arial"/>
                <w:b/>
              </w:rPr>
            </w:pPr>
          </w:p>
        </w:tc>
        <w:tc>
          <w:tcPr>
            <w:tcW w:w="2291" w:type="dxa"/>
          </w:tcPr>
          <w:p w14:paraId="19D04ECA" w14:textId="77777777" w:rsidR="004C195C" w:rsidRPr="00C073B2" w:rsidRDefault="004C195C" w:rsidP="007A5A2F">
            <w:pPr>
              <w:rPr>
                <w:rFonts w:ascii="Arial Narrow" w:eastAsiaTheme="majorEastAsia" w:hAnsi="Arial Narrow" w:cs="Arial"/>
                <w:b/>
              </w:rPr>
            </w:pPr>
          </w:p>
        </w:tc>
      </w:tr>
      <w:tr w:rsidR="004C195C" w:rsidRPr="00C073B2" w14:paraId="7971E2AF" w14:textId="77777777" w:rsidTr="007A5A2F">
        <w:trPr>
          <w:trHeight w:val="548"/>
        </w:trPr>
        <w:tc>
          <w:tcPr>
            <w:tcW w:w="2122" w:type="dxa"/>
            <w:shd w:val="clear" w:color="auto" w:fill="DAEEF3" w:themeFill="accent5" w:themeFillTint="33"/>
          </w:tcPr>
          <w:p w14:paraId="1C74EBCF" w14:textId="77777777" w:rsidR="004C195C" w:rsidRPr="00C073B2" w:rsidRDefault="004C195C" w:rsidP="007A5A2F">
            <w:pPr>
              <w:rPr>
                <w:rFonts w:ascii="Arial Narrow" w:hAnsi="Arial Narrow" w:cs="Arial"/>
              </w:rPr>
            </w:pPr>
            <w:r>
              <w:rPr>
                <w:rFonts w:ascii="Arial Narrow" w:hAnsi="Arial Narrow" w:cs="Arial"/>
              </w:rPr>
              <w:t>Electrical Contractor</w:t>
            </w:r>
          </w:p>
        </w:tc>
        <w:tc>
          <w:tcPr>
            <w:tcW w:w="2459" w:type="dxa"/>
          </w:tcPr>
          <w:p w14:paraId="4C872CE1" w14:textId="77777777" w:rsidR="004C195C" w:rsidRPr="00C073B2" w:rsidRDefault="004C195C" w:rsidP="007A5A2F">
            <w:pPr>
              <w:jc w:val="both"/>
              <w:rPr>
                <w:rFonts w:ascii="Arial Narrow" w:eastAsiaTheme="majorEastAsia" w:hAnsi="Arial Narrow" w:cs="Arial"/>
              </w:rPr>
            </w:pPr>
          </w:p>
        </w:tc>
        <w:tc>
          <w:tcPr>
            <w:tcW w:w="2291" w:type="dxa"/>
          </w:tcPr>
          <w:p w14:paraId="78D194EB" w14:textId="77777777" w:rsidR="004C195C" w:rsidRPr="00C073B2" w:rsidRDefault="004C195C" w:rsidP="007A5A2F">
            <w:pPr>
              <w:jc w:val="both"/>
              <w:rPr>
                <w:rFonts w:ascii="Arial Narrow" w:eastAsiaTheme="majorEastAsia" w:hAnsi="Arial Narrow" w:cs="Arial"/>
              </w:rPr>
            </w:pPr>
          </w:p>
        </w:tc>
        <w:tc>
          <w:tcPr>
            <w:tcW w:w="2291" w:type="dxa"/>
          </w:tcPr>
          <w:p w14:paraId="1B4AEBC4" w14:textId="77777777" w:rsidR="004C195C" w:rsidRPr="00C073B2" w:rsidRDefault="004C195C" w:rsidP="007A5A2F">
            <w:pPr>
              <w:jc w:val="both"/>
              <w:rPr>
                <w:rFonts w:ascii="Arial Narrow" w:eastAsiaTheme="majorEastAsia" w:hAnsi="Arial Narrow" w:cs="Arial"/>
              </w:rPr>
            </w:pPr>
          </w:p>
        </w:tc>
        <w:tc>
          <w:tcPr>
            <w:tcW w:w="2291" w:type="dxa"/>
          </w:tcPr>
          <w:p w14:paraId="2443835D" w14:textId="77777777" w:rsidR="004C195C" w:rsidRPr="00C073B2" w:rsidRDefault="004C195C" w:rsidP="007A5A2F">
            <w:pPr>
              <w:jc w:val="both"/>
              <w:rPr>
                <w:rFonts w:ascii="Arial Narrow" w:eastAsiaTheme="majorEastAsia" w:hAnsi="Arial Narrow" w:cs="Arial"/>
              </w:rPr>
            </w:pPr>
          </w:p>
        </w:tc>
        <w:tc>
          <w:tcPr>
            <w:tcW w:w="2291" w:type="dxa"/>
          </w:tcPr>
          <w:p w14:paraId="4D13535D" w14:textId="77777777" w:rsidR="004C195C" w:rsidRPr="00C073B2" w:rsidRDefault="004C195C" w:rsidP="007A5A2F">
            <w:pPr>
              <w:jc w:val="both"/>
              <w:rPr>
                <w:rFonts w:ascii="Arial Narrow" w:eastAsiaTheme="majorEastAsia" w:hAnsi="Arial Narrow" w:cs="Arial"/>
              </w:rPr>
            </w:pPr>
          </w:p>
        </w:tc>
      </w:tr>
      <w:tr w:rsidR="004C195C" w:rsidRPr="00C073B2" w14:paraId="244BF546" w14:textId="77777777" w:rsidTr="007A5A2F">
        <w:trPr>
          <w:trHeight w:val="548"/>
        </w:trPr>
        <w:tc>
          <w:tcPr>
            <w:tcW w:w="2122" w:type="dxa"/>
            <w:shd w:val="clear" w:color="auto" w:fill="DAEEF3" w:themeFill="accent5" w:themeFillTint="33"/>
          </w:tcPr>
          <w:p w14:paraId="1A470015" w14:textId="77777777" w:rsidR="004C195C" w:rsidRDefault="004C195C" w:rsidP="007A5A2F">
            <w:pPr>
              <w:rPr>
                <w:rFonts w:ascii="Arial Narrow" w:hAnsi="Arial Narrow" w:cs="Arial"/>
              </w:rPr>
            </w:pPr>
            <w:r>
              <w:rPr>
                <w:rFonts w:ascii="Arial Narrow" w:hAnsi="Arial Narrow" w:cs="Arial"/>
              </w:rPr>
              <w:t>Other Contractors as necessary (add rows)</w:t>
            </w:r>
          </w:p>
        </w:tc>
        <w:tc>
          <w:tcPr>
            <w:tcW w:w="2459" w:type="dxa"/>
          </w:tcPr>
          <w:p w14:paraId="30DAE0E6" w14:textId="77777777" w:rsidR="004C195C" w:rsidRPr="00C073B2" w:rsidRDefault="004C195C" w:rsidP="007A5A2F">
            <w:pPr>
              <w:jc w:val="both"/>
              <w:rPr>
                <w:rFonts w:ascii="Arial Narrow" w:eastAsiaTheme="majorEastAsia" w:hAnsi="Arial Narrow" w:cs="Arial"/>
              </w:rPr>
            </w:pPr>
          </w:p>
        </w:tc>
        <w:tc>
          <w:tcPr>
            <w:tcW w:w="2291" w:type="dxa"/>
          </w:tcPr>
          <w:p w14:paraId="57F2A508" w14:textId="77777777" w:rsidR="004C195C" w:rsidRPr="00C073B2" w:rsidRDefault="004C195C" w:rsidP="007A5A2F">
            <w:pPr>
              <w:jc w:val="both"/>
              <w:rPr>
                <w:rFonts w:ascii="Arial Narrow" w:eastAsiaTheme="majorEastAsia" w:hAnsi="Arial Narrow" w:cs="Arial"/>
              </w:rPr>
            </w:pPr>
          </w:p>
        </w:tc>
        <w:tc>
          <w:tcPr>
            <w:tcW w:w="2291" w:type="dxa"/>
          </w:tcPr>
          <w:p w14:paraId="12B1F6B5" w14:textId="77777777" w:rsidR="004C195C" w:rsidRPr="00C073B2" w:rsidRDefault="004C195C" w:rsidP="007A5A2F">
            <w:pPr>
              <w:jc w:val="both"/>
              <w:rPr>
                <w:rFonts w:ascii="Arial Narrow" w:eastAsiaTheme="majorEastAsia" w:hAnsi="Arial Narrow" w:cs="Arial"/>
              </w:rPr>
            </w:pPr>
          </w:p>
        </w:tc>
        <w:tc>
          <w:tcPr>
            <w:tcW w:w="2291" w:type="dxa"/>
          </w:tcPr>
          <w:p w14:paraId="50522637" w14:textId="77777777" w:rsidR="004C195C" w:rsidRPr="00C073B2" w:rsidRDefault="004C195C" w:rsidP="007A5A2F">
            <w:pPr>
              <w:jc w:val="both"/>
              <w:rPr>
                <w:rFonts w:ascii="Arial Narrow" w:eastAsiaTheme="majorEastAsia" w:hAnsi="Arial Narrow" w:cs="Arial"/>
              </w:rPr>
            </w:pPr>
          </w:p>
        </w:tc>
        <w:tc>
          <w:tcPr>
            <w:tcW w:w="2291" w:type="dxa"/>
          </w:tcPr>
          <w:p w14:paraId="7A90E91D" w14:textId="77777777" w:rsidR="004C195C" w:rsidRPr="00C073B2" w:rsidRDefault="004C195C" w:rsidP="007A5A2F">
            <w:pPr>
              <w:jc w:val="both"/>
              <w:rPr>
                <w:rFonts w:ascii="Arial Narrow" w:eastAsiaTheme="majorEastAsia" w:hAnsi="Arial Narrow" w:cs="Arial"/>
              </w:rPr>
            </w:pPr>
          </w:p>
        </w:tc>
      </w:tr>
      <w:tr w:rsidR="004C195C" w:rsidRPr="00C073B2" w14:paraId="3F377CE9" w14:textId="77777777" w:rsidTr="007A5A2F">
        <w:trPr>
          <w:trHeight w:val="548"/>
        </w:trPr>
        <w:tc>
          <w:tcPr>
            <w:tcW w:w="2122" w:type="dxa"/>
            <w:shd w:val="clear" w:color="auto" w:fill="DAEEF3" w:themeFill="accent5" w:themeFillTint="33"/>
          </w:tcPr>
          <w:p w14:paraId="110D3C19" w14:textId="77777777" w:rsidR="004C195C" w:rsidRPr="00C073B2" w:rsidRDefault="004C195C" w:rsidP="007A5A2F">
            <w:pPr>
              <w:rPr>
                <w:rFonts w:ascii="Arial Narrow" w:hAnsi="Arial Narrow" w:cs="Arial"/>
              </w:rPr>
            </w:pPr>
            <w:r w:rsidRPr="00C073B2">
              <w:rPr>
                <w:rFonts w:ascii="Arial Narrow" w:hAnsi="Arial Narrow" w:cs="Arial"/>
              </w:rPr>
              <w:t>Etc.</w:t>
            </w:r>
          </w:p>
        </w:tc>
        <w:tc>
          <w:tcPr>
            <w:tcW w:w="2459" w:type="dxa"/>
          </w:tcPr>
          <w:p w14:paraId="43C7515D" w14:textId="77777777" w:rsidR="004C195C" w:rsidRPr="00C073B2" w:rsidRDefault="004C195C" w:rsidP="007A5A2F">
            <w:pPr>
              <w:jc w:val="both"/>
              <w:rPr>
                <w:rFonts w:ascii="Arial Narrow" w:eastAsiaTheme="majorEastAsia" w:hAnsi="Arial Narrow" w:cs="Arial"/>
              </w:rPr>
            </w:pPr>
          </w:p>
        </w:tc>
        <w:tc>
          <w:tcPr>
            <w:tcW w:w="2291" w:type="dxa"/>
          </w:tcPr>
          <w:p w14:paraId="50894529" w14:textId="77777777" w:rsidR="004C195C" w:rsidRPr="00C073B2" w:rsidRDefault="004C195C" w:rsidP="007A5A2F">
            <w:pPr>
              <w:jc w:val="both"/>
              <w:rPr>
                <w:rFonts w:ascii="Arial Narrow" w:eastAsiaTheme="majorEastAsia" w:hAnsi="Arial Narrow" w:cs="Arial"/>
              </w:rPr>
            </w:pPr>
          </w:p>
        </w:tc>
        <w:tc>
          <w:tcPr>
            <w:tcW w:w="2291" w:type="dxa"/>
          </w:tcPr>
          <w:p w14:paraId="3D2F10B5" w14:textId="77777777" w:rsidR="004C195C" w:rsidRPr="00C073B2" w:rsidRDefault="004C195C" w:rsidP="007A5A2F">
            <w:pPr>
              <w:jc w:val="both"/>
              <w:rPr>
                <w:rFonts w:ascii="Arial Narrow" w:eastAsiaTheme="majorEastAsia" w:hAnsi="Arial Narrow" w:cs="Arial"/>
              </w:rPr>
            </w:pPr>
          </w:p>
        </w:tc>
        <w:tc>
          <w:tcPr>
            <w:tcW w:w="2291" w:type="dxa"/>
          </w:tcPr>
          <w:p w14:paraId="51A0CF49" w14:textId="77777777" w:rsidR="004C195C" w:rsidRPr="00C073B2" w:rsidRDefault="004C195C" w:rsidP="007A5A2F">
            <w:pPr>
              <w:jc w:val="both"/>
              <w:rPr>
                <w:rFonts w:ascii="Arial Narrow" w:eastAsiaTheme="majorEastAsia" w:hAnsi="Arial Narrow" w:cs="Arial"/>
              </w:rPr>
            </w:pPr>
          </w:p>
        </w:tc>
        <w:tc>
          <w:tcPr>
            <w:tcW w:w="2291" w:type="dxa"/>
          </w:tcPr>
          <w:p w14:paraId="213D1410" w14:textId="77777777" w:rsidR="004C195C" w:rsidRPr="00C073B2" w:rsidRDefault="004C195C" w:rsidP="007A5A2F">
            <w:pPr>
              <w:jc w:val="both"/>
              <w:rPr>
                <w:rFonts w:ascii="Arial Narrow" w:eastAsiaTheme="majorEastAsia" w:hAnsi="Arial Narrow" w:cs="Arial"/>
              </w:rPr>
            </w:pPr>
          </w:p>
        </w:tc>
      </w:tr>
    </w:tbl>
    <w:p w14:paraId="4EBFBAFB" w14:textId="77777777" w:rsidR="004C195C" w:rsidRDefault="004C195C" w:rsidP="004C195C">
      <w:pPr>
        <w:pStyle w:val="NoSpacing"/>
        <w:rPr>
          <w:rFonts w:eastAsiaTheme="majorEastAsia"/>
        </w:rPr>
      </w:pPr>
    </w:p>
    <w:p w14:paraId="2C74FBD6" w14:textId="0C4BDF00" w:rsidR="004C195C" w:rsidRDefault="00FF7492" w:rsidP="004C195C">
      <w:pPr>
        <w:jc w:val="both"/>
        <w:rPr>
          <w:rFonts w:eastAsiaTheme="majorEastAsia"/>
        </w:rPr>
      </w:pPr>
      <w:r>
        <w:rPr>
          <w:rFonts w:ascii="Arial Narrow" w:eastAsiaTheme="majorEastAsia" w:hAnsi="Arial Narrow" w:cs="Arial"/>
        </w:rPr>
        <w:t>Please ensure that the electrical contractor listed above is a university-nominated supplier, as per the RFT documentation.</w:t>
      </w:r>
    </w:p>
    <w:p w14:paraId="4B0676FC" w14:textId="77777777" w:rsidR="00D03036" w:rsidRDefault="00D03036" w:rsidP="009D43F5">
      <w:pPr>
        <w:pStyle w:val="NoSpacing"/>
        <w:rPr>
          <w:rFonts w:eastAsiaTheme="majorEastAsia"/>
        </w:rPr>
        <w:sectPr w:rsidR="00D03036"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3" w:name="_Toc423964848"/>
    <w:bookmarkStart w:id="24"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5" w:name="_Toc49165013"/>
      <w:r w:rsidRPr="00B51D60">
        <w:instrText>1.1.3  Certificates and Forms</w:instrText>
      </w:r>
      <w:bookmarkEnd w:id="25"/>
      <w:r w:rsidRPr="00B51D60">
        <w:instrText xml:space="preserve"> " \f a \l 3 \n </w:instrText>
      </w:r>
      <w:r w:rsidRPr="00B51D60">
        <w:fldChar w:fldCharType="end"/>
      </w:r>
      <w:bookmarkStart w:id="26" w:name="_Toc206163158"/>
      <w:r w:rsidRPr="00B51D60">
        <w:t>Certificates and Forms</w:t>
      </w:r>
      <w:bookmarkEnd w:id="26"/>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3"/>
    </w:p>
    <w:p w14:paraId="1B97C7D0" w14:textId="2EB3A42F" w:rsidR="00B51D60" w:rsidRPr="00404960" w:rsidRDefault="009F3E1A" w:rsidP="00E662B2">
      <w:pPr>
        <w:pStyle w:val="Heading2"/>
        <w:numPr>
          <w:ilvl w:val="1"/>
          <w:numId w:val="23"/>
        </w:numPr>
        <w:rPr>
          <w:i/>
          <w:iCs/>
        </w:rPr>
      </w:pPr>
      <w:bookmarkStart w:id="27"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7"/>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8"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8"/>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29" w:name="_Toc206163160"/>
      <w:r w:rsidRPr="00713C1A">
        <w:rPr>
          <w:i/>
          <w:iCs/>
        </w:rPr>
        <w:lastRenderedPageBreak/>
        <w:t xml:space="preserve">b) </w:t>
      </w:r>
      <w:r w:rsidR="00B51D60" w:rsidRPr="00713C1A">
        <w:rPr>
          <w:i/>
          <w:iCs/>
        </w:rPr>
        <w:t>Essential Safety Provisions</w:t>
      </w:r>
      <w:bookmarkEnd w:id="29"/>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0"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1"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1"/>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4E929549"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w:t>
            </w:r>
            <w:r w:rsidR="00FF7492">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0"/>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2" w:name="_Toc49165014"/>
      <w:r w:rsidRPr="00B51D60">
        <w:instrText>1.1.4  Warranties</w:instrText>
      </w:r>
      <w:bookmarkEnd w:id="32"/>
      <w:r w:rsidRPr="00B51D60">
        <w:instrText xml:space="preserve">" \f a \l 3 \n </w:instrText>
      </w:r>
      <w:r w:rsidRPr="00B51D60">
        <w:fldChar w:fldCharType="end"/>
      </w:r>
      <w:r w:rsidRPr="00B51D60">
        <w:t xml:space="preserve"> </w:t>
      </w:r>
      <w:bookmarkStart w:id="33" w:name="_Toc206163161"/>
      <w:bookmarkEnd w:id="24"/>
      <w:r w:rsidR="00B772D0">
        <w:t>Occupational Health &amp; Safety / Hazardous Materials</w:t>
      </w:r>
      <w:bookmarkEnd w:id="33"/>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4"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4"/>
      <w:r w:rsidR="00B51D60" w:rsidRPr="00B9484B">
        <w:rPr>
          <w:rFonts w:ascii="Arial Narrow" w:hAnsi="Arial Narrow" w:cs="Arial"/>
        </w:rPr>
        <w:br w:type="page"/>
      </w:r>
    </w:p>
    <w:bookmarkStart w:id="35"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6" w:name="_Toc49165015"/>
      <w:r w:rsidRPr="00B51D60">
        <w:instrText>1.1.5  Training Plans and Records</w:instrText>
      </w:r>
      <w:bookmarkEnd w:id="36"/>
      <w:r w:rsidRPr="00B51D60">
        <w:instrText xml:space="preserve"> " \f a \l 3 \n </w:instrText>
      </w:r>
      <w:r w:rsidRPr="00B51D60">
        <w:fldChar w:fldCharType="end"/>
      </w:r>
      <w:bookmarkStart w:id="37" w:name="_Toc206163162"/>
      <w:bookmarkEnd w:id="35"/>
      <w:r w:rsidR="00B772D0">
        <w:t>Technical Literature</w:t>
      </w:r>
      <w:bookmarkEnd w:id="37"/>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8" w:name="_Toc49165016"/>
      <w:r w:rsidRPr="00B51D60">
        <w:instrText>1.1.6  User Guides</w:instrText>
      </w:r>
      <w:bookmarkEnd w:id="38"/>
      <w:r w:rsidRPr="00B51D60">
        <w:instrText xml:space="preserve"> " \f a \l 3 \n </w:instrText>
      </w:r>
      <w:r w:rsidRPr="00B51D60">
        <w:fldChar w:fldCharType="end"/>
      </w:r>
      <w:bookmarkStart w:id="39" w:name="_Toc206163163"/>
      <w:r w:rsidR="00B772D0">
        <w:t>Asset Register</w:t>
      </w:r>
      <w:bookmarkEnd w:id="39"/>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35C07551"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330890D7"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FF7492">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w:t>
      </w:r>
      <w:r w:rsidR="00065EF0">
        <w:rPr>
          <w:rFonts w:ascii="Arial Narrow" w:eastAsiaTheme="majorEastAsia" w:hAnsi="Arial Narrow"/>
          <w:b/>
          <w:bCs/>
        </w:rPr>
        <w:t xml:space="preserve">supply </w:t>
      </w:r>
      <w:r w:rsidR="00065EF0" w:rsidRPr="0053441A">
        <w:rPr>
          <w:rFonts w:ascii="Arial Narrow" w:eastAsiaTheme="majorEastAsia" w:hAnsi="Arial Narrow"/>
          <w:b/>
          <w:bCs/>
        </w:rPr>
        <w:t>the asset register as a</w:t>
      </w:r>
      <w:r w:rsidR="00065EF0">
        <w:rPr>
          <w:rFonts w:ascii="Arial Narrow" w:eastAsiaTheme="majorEastAsia" w:hAnsi="Arial Narrow"/>
          <w:b/>
          <w:bCs/>
        </w:rPr>
        <w:t xml:space="preserve"> separate</w:t>
      </w:r>
      <w:r w:rsidR="00065EF0" w:rsidRPr="0053441A">
        <w:rPr>
          <w:rFonts w:ascii="Arial Narrow" w:eastAsiaTheme="majorEastAsia" w:hAnsi="Arial Narrow"/>
          <w:b/>
          <w:bCs/>
        </w:rPr>
        <w:t xml:space="preserve"> .xls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0" w:name="_Toc49165018"/>
      <w:r w:rsidRPr="00B51D60">
        <w:instrText>1.1.8  Occupational Health and Safety / Hazardous Materials</w:instrText>
      </w:r>
      <w:bookmarkEnd w:id="40"/>
      <w:r w:rsidRPr="00B51D60">
        <w:instrText xml:space="preserve"> " \f a \l 3 \n </w:instrText>
      </w:r>
      <w:r w:rsidRPr="00B51D60">
        <w:fldChar w:fldCharType="end"/>
      </w:r>
      <w:bookmarkStart w:id="41" w:name="_Toc206163164"/>
      <w:r w:rsidR="00B772D0">
        <w:t>Defects Liability Period (DLP) Maintenance Schedul</w:t>
      </w:r>
      <w:r w:rsidR="0053441A">
        <w:t>e</w:t>
      </w:r>
      <w:bookmarkEnd w:id="41"/>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FF7492" w:rsidRPr="00B60B64" w14:paraId="05E8D92A" w14:textId="77777777" w:rsidTr="00DA4094">
        <w:trPr>
          <w:trHeight w:val="221"/>
        </w:trPr>
        <w:tc>
          <w:tcPr>
            <w:tcW w:w="1418" w:type="dxa"/>
            <w:shd w:val="clear" w:color="auto" w:fill="DAEEF3" w:themeFill="accent5" w:themeFillTint="33"/>
            <w:noWrap/>
            <w:hideMark/>
          </w:tcPr>
          <w:p w14:paraId="6AA954C1"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7D256958"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1F475121"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0E0011B8"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33B47232"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2C8DC467"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55B46DE5" w14:textId="77777777" w:rsidR="00FF7492" w:rsidRPr="00B60B64" w:rsidRDefault="00FF749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FF7492" w:rsidRPr="00B60B64" w14:paraId="7FF1F071" w14:textId="77777777" w:rsidTr="00DA4094">
        <w:trPr>
          <w:trHeight w:val="286"/>
        </w:trPr>
        <w:tc>
          <w:tcPr>
            <w:tcW w:w="1418" w:type="dxa"/>
            <w:vAlign w:val="bottom"/>
            <w:hideMark/>
          </w:tcPr>
          <w:p w14:paraId="50DFD41C"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35D90453" w14:textId="77777777" w:rsidR="00FF7492" w:rsidRPr="00B60B64" w:rsidRDefault="00FF749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6187A8EF"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2C68CF4A" w14:textId="77777777" w:rsidR="00FF7492" w:rsidRPr="00B60B64" w:rsidRDefault="00FF749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BE50407"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2BD85896"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25CB3661"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FF7492" w:rsidRPr="00B60B64" w14:paraId="09F14DCB" w14:textId="77777777" w:rsidTr="00DA4094">
        <w:trPr>
          <w:trHeight w:val="304"/>
        </w:trPr>
        <w:tc>
          <w:tcPr>
            <w:tcW w:w="1418" w:type="dxa"/>
            <w:vAlign w:val="bottom"/>
            <w:hideMark/>
          </w:tcPr>
          <w:p w14:paraId="7FA20AA5"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067F55DB" w14:textId="77777777" w:rsidR="00FF7492" w:rsidRPr="00B60B64" w:rsidRDefault="00FF749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5E0D540D"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405E57FB" w14:textId="77777777" w:rsidR="00FF7492" w:rsidRPr="00B60B64" w:rsidRDefault="00FF749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7E62092D"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1207111D"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3428527D"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FF7492" w:rsidRPr="00B60B64" w14:paraId="07E884C9" w14:textId="77777777" w:rsidTr="00DA4094">
        <w:trPr>
          <w:trHeight w:val="322"/>
        </w:trPr>
        <w:tc>
          <w:tcPr>
            <w:tcW w:w="1418" w:type="dxa"/>
            <w:vAlign w:val="bottom"/>
            <w:hideMark/>
          </w:tcPr>
          <w:p w14:paraId="09422A0F"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4A543599" w14:textId="77777777" w:rsidR="00FF7492" w:rsidRPr="00B60B64" w:rsidRDefault="00FF749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1B99189C"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5B51CCF8" w14:textId="77777777" w:rsidR="00FF7492" w:rsidRPr="00B60B64" w:rsidRDefault="00FF749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6C313E0D" w14:textId="77777777" w:rsidR="00FF7492" w:rsidRPr="00B60B64" w:rsidRDefault="00FF749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38267182"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35DD5A93" w14:textId="77777777" w:rsidR="00FF7492" w:rsidRPr="00B60B64" w:rsidRDefault="00FF749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2" w:name="_Toc423964850"/>
    <w:bookmarkStart w:id="43"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4" w:name="_Toc49165019"/>
      <w:r w:rsidRPr="00B51D60">
        <w:instrText>1.1.9  Document Register</w:instrText>
      </w:r>
      <w:bookmarkEnd w:id="44"/>
      <w:r w:rsidRPr="00B51D60">
        <w:instrText xml:space="preserve"> " \f a \l 3 \n </w:instrText>
      </w:r>
      <w:r w:rsidRPr="00B51D60">
        <w:fldChar w:fldCharType="end"/>
      </w:r>
      <w:bookmarkStart w:id="45" w:name="_Toc206163165"/>
      <w:bookmarkEnd w:id="42"/>
      <w:bookmarkEnd w:id="43"/>
      <w:r w:rsidR="00ED664B">
        <w:t>Commissioning &amp; Testing Data</w:t>
      </w:r>
      <w:bookmarkEnd w:id="45"/>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6" w:name="_Toc206163166"/>
      <w:r>
        <w:lastRenderedPageBreak/>
        <w:t>Warranties</w:t>
      </w:r>
      <w:bookmarkEnd w:id="46"/>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7"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7F01CBCC"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86475C">
              <w:rPr>
                <w:rFonts w:ascii="Arial Narrow" w:eastAsia="Times New Roman" w:hAnsi="Arial Narrow" w:cs="Arial"/>
                <w:lang w:val="en-AU" w:eastAsia="en-AU" w:bidi="ar-SA"/>
              </w:rPr>
              <w:t>Lighting</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40DA54B0" w:rsidR="00B772D0" w:rsidRPr="00B51D60" w:rsidRDefault="00B21426"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7"/>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8" w:name="_Toc206163167"/>
      <w:bookmarkStart w:id="49" w:name="_Toc43794003"/>
      <w:r>
        <w:lastRenderedPageBreak/>
        <w:t>Document Register</w:t>
      </w:r>
      <w:bookmarkEnd w:id="48"/>
    </w:p>
    <w:p w14:paraId="7D631DDD" w14:textId="77777777" w:rsidR="00A749E1" w:rsidRPr="00C073B2" w:rsidRDefault="00A749E1" w:rsidP="00A749E1">
      <w:pPr>
        <w:spacing w:after="0" w:line="240" w:lineRule="auto"/>
        <w:rPr>
          <w:rFonts w:ascii="Arial Narrow" w:eastAsiaTheme="majorEastAsia" w:hAnsi="Arial Narrow"/>
        </w:rPr>
      </w:pPr>
    </w:p>
    <w:p w14:paraId="736EEE08" w14:textId="42C1CA1E" w:rsidR="00B772D0" w:rsidRPr="00CA1098" w:rsidRDefault="00B772D0" w:rsidP="00B772D0">
      <w:pPr>
        <w:jc w:val="both"/>
        <w:rPr>
          <w:rFonts w:ascii="Arial Narrow" w:hAnsi="Arial Narrow" w:cs="Arial"/>
        </w:rPr>
      </w:pPr>
      <w:bookmarkStart w:id="50"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D34125">
        <w:rPr>
          <w:rFonts w:ascii="Arial Narrow" w:hAnsi="Arial Narrow" w:cs="Arial"/>
        </w:rPr>
        <w:t>Electrical</w:t>
      </w:r>
      <w:r w:rsidR="0069344C">
        <w:rPr>
          <w:rFonts w:ascii="Arial Narrow" w:hAnsi="Arial Narrow" w:cs="Arial"/>
        </w:rPr>
        <w:t xml:space="preserve">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45D35793"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FF7492">
        <w:rPr>
          <w:rFonts w:ascii="Arial Narrow" w:hAnsi="Arial Narrow" w:cs="Arial"/>
        </w:rPr>
        <w:t xml:space="preserve"> </w:t>
      </w:r>
      <w:r>
        <w:rPr>
          <w:rFonts w:ascii="Arial Narrow" w:hAnsi="Arial Narrow" w:cs="Arial"/>
        </w:rPr>
        <w:t>/</w:t>
      </w:r>
      <w:r w:rsidR="00FF7492">
        <w:rPr>
          <w:rFonts w:ascii="Arial Narrow" w:hAnsi="Arial Narrow" w:cs="Arial"/>
        </w:rPr>
        <w:t xml:space="preserve"> </w:t>
      </w:r>
      <w:r>
        <w:rPr>
          <w:rFonts w:ascii="Arial Narrow" w:hAnsi="Arial Narrow" w:cs="Arial"/>
        </w:rPr>
        <w:t>”As Constructed”</w:t>
      </w:r>
      <w:r w:rsidR="00FF7492">
        <w:rPr>
          <w:rFonts w:ascii="Arial Narrow" w:hAnsi="Arial Narrow" w:cs="Arial"/>
        </w:rPr>
        <w:t xml:space="preserve"> </w:t>
      </w:r>
      <w:r>
        <w:rPr>
          <w:rFonts w:ascii="Arial Narrow" w:hAnsi="Arial Narrow" w:cs="Arial"/>
        </w:rPr>
        <w:t>/</w:t>
      </w:r>
      <w:r w:rsidR="00FF7492">
        <w:rPr>
          <w:rFonts w:ascii="Arial Narrow" w:hAnsi="Arial Narrow" w:cs="Arial"/>
        </w:rPr>
        <w:t xml:space="preserve"> </w:t>
      </w:r>
      <w:r>
        <w:rPr>
          <w:rFonts w:ascii="Arial Narrow" w:hAnsi="Arial Narrow" w:cs="Arial"/>
        </w:rPr>
        <w:t>”As Installed”</w:t>
      </w:r>
      <w:r w:rsidR="00FF7492">
        <w:rPr>
          <w:rFonts w:ascii="Arial Narrow" w:hAnsi="Arial Narrow" w:cs="Arial"/>
        </w:rPr>
        <w:t xml:space="preserve"> </w:t>
      </w:r>
      <w:r>
        <w:rPr>
          <w:rFonts w:ascii="Arial Narrow" w:hAnsi="Arial Narrow" w:cs="Arial"/>
        </w:rPr>
        <w:t>/</w:t>
      </w:r>
      <w:r w:rsidR="00FF7492">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691B2078" w14:textId="29312F20" w:rsidR="004C195C" w:rsidRDefault="004C195C" w:rsidP="00E662B2">
      <w:pPr>
        <w:pStyle w:val="ListParagraph"/>
        <w:numPr>
          <w:ilvl w:val="0"/>
          <w:numId w:val="12"/>
        </w:numPr>
        <w:jc w:val="both"/>
        <w:rPr>
          <w:rFonts w:ascii="Arial Narrow" w:hAnsi="Arial Narrow" w:cs="Arial"/>
        </w:rPr>
      </w:pPr>
      <w:r>
        <w:rPr>
          <w:rFonts w:ascii="Arial Narrow" w:hAnsi="Arial Narrow" w:cs="Arial"/>
        </w:rPr>
        <w:t>Generally, all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0"/>
    </w:tbl>
    <w:p w14:paraId="24B3D382" w14:textId="77777777" w:rsidR="005F44EF" w:rsidRPr="005F44EF" w:rsidRDefault="005F44EF" w:rsidP="005F44EF">
      <w:pPr>
        <w:jc w:val="both"/>
        <w:rPr>
          <w:rFonts w:ascii="Arial Narrow" w:hAnsi="Arial Narrow" w:cs="Arial"/>
        </w:rPr>
      </w:pPr>
    </w:p>
    <w:bookmarkEnd w:id="49"/>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1" w:name="_Toc206163168"/>
      <w:bookmarkStart w:id="52" w:name="_Hlk199148966"/>
      <w:r>
        <w:lastRenderedPageBreak/>
        <w:t>Further Information</w:t>
      </w:r>
      <w:bookmarkEnd w:id="51"/>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3"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3"/>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4"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5"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5"/>
    <w:bookmarkEnd w:id="54"/>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6" w:name="_Toc206163169"/>
      <w:r w:rsidRPr="00713C1A">
        <w:rPr>
          <w:i/>
          <w:iCs/>
        </w:rPr>
        <w:lastRenderedPageBreak/>
        <w:t>a) Specialist Tools &amp; Testing Equipment</w:t>
      </w:r>
      <w:bookmarkEnd w:id="56"/>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7"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7"/>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8" w:name="_Toc206163170"/>
      <w:r w:rsidRPr="00713C1A">
        <w:rPr>
          <w:i/>
          <w:iCs/>
        </w:rPr>
        <w:lastRenderedPageBreak/>
        <w:t>b) Spares &amp; Consumables</w:t>
      </w:r>
      <w:bookmarkEnd w:id="58"/>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59"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59"/>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0" w:name="_Toc206163171"/>
      <w:r w:rsidRPr="00713C1A">
        <w:rPr>
          <w:i/>
          <w:iCs/>
        </w:rPr>
        <w:lastRenderedPageBreak/>
        <w:t>c) Imported</w:t>
      </w:r>
      <w:r w:rsidR="00EA629F">
        <w:rPr>
          <w:i/>
          <w:iCs/>
        </w:rPr>
        <w:t xml:space="preserve"> / Specialist</w:t>
      </w:r>
      <w:r w:rsidRPr="00713C1A">
        <w:rPr>
          <w:i/>
          <w:iCs/>
        </w:rPr>
        <w:t xml:space="preserve"> Equipment</w:t>
      </w:r>
      <w:bookmarkEnd w:id="60"/>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2D9DC902"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FF7492">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1" w:name="_Toc206163172"/>
      <w:r>
        <w:rPr>
          <w:i/>
          <w:iCs/>
        </w:rPr>
        <w:lastRenderedPageBreak/>
        <w:t>d</w:t>
      </w:r>
      <w:r w:rsidRPr="00713C1A">
        <w:rPr>
          <w:i/>
          <w:iCs/>
        </w:rPr>
        <w:t xml:space="preserve">) </w:t>
      </w:r>
      <w:r>
        <w:rPr>
          <w:i/>
          <w:iCs/>
        </w:rPr>
        <w:t>Training Plans &amp; Records</w:t>
      </w:r>
      <w:bookmarkEnd w:id="61"/>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2" w:name="_Toc206163173"/>
      <w:r>
        <w:rPr>
          <w:i/>
          <w:iCs/>
        </w:rPr>
        <w:lastRenderedPageBreak/>
        <w:t>e</w:t>
      </w:r>
      <w:r w:rsidR="0075228F" w:rsidRPr="00713C1A">
        <w:rPr>
          <w:i/>
          <w:iCs/>
        </w:rPr>
        <w:t>) Other Information</w:t>
      </w:r>
      <w:bookmarkEnd w:id="62"/>
    </w:p>
    <w:p w14:paraId="57D07D18" w14:textId="77777777" w:rsidR="00F84825" w:rsidRDefault="00F84825" w:rsidP="00F84825">
      <w:pPr>
        <w:pStyle w:val="ListParagraph"/>
        <w:ind w:left="756"/>
        <w:rPr>
          <w:rFonts w:ascii="Arial Narrow" w:hAnsi="Arial Narrow"/>
        </w:rPr>
      </w:pPr>
    </w:p>
    <w:bookmarkEnd w:id="52"/>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3721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65EF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C195C"/>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159E1"/>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76E59"/>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4AE1"/>
    <w:rsid w:val="00855BC0"/>
    <w:rsid w:val="008577EE"/>
    <w:rsid w:val="0086475C"/>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21426"/>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34125"/>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492"/>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24</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31</cp:revision>
  <cp:lastPrinted>2015-06-23T07:11:00Z</cp:lastPrinted>
  <dcterms:created xsi:type="dcterms:W3CDTF">2025-04-23T02:57:00Z</dcterms:created>
  <dcterms:modified xsi:type="dcterms:W3CDTF">2025-08-20T05:43:00Z</dcterms:modified>
</cp:coreProperties>
</file>