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309" w:rsidRPr="001A1A5B" w:rsidRDefault="005E13F9">
      <w:pPr>
        <w:rPr>
          <w:rFonts w:ascii="Arial" w:hAnsi="Arial" w:cs="Arial"/>
          <w:b/>
          <w:bCs/>
          <w:sz w:val="20"/>
          <w:szCs w:val="20"/>
          <w:lang w:val="en-US"/>
        </w:rPr>
      </w:pPr>
      <w:r w:rsidRPr="001A1A5B">
        <w:rPr>
          <w:rFonts w:ascii="Arial" w:hAnsi="Arial" w:cs="Arial"/>
          <w:b/>
          <w:bCs/>
          <w:sz w:val="20"/>
          <w:szCs w:val="20"/>
          <w:lang w:val="en-US"/>
        </w:rPr>
        <w:t>Overview of the National Code</w:t>
      </w:r>
    </w:p>
    <w:p w:rsidR="00305D90" w:rsidRPr="001A1A5B" w:rsidRDefault="00305D90" w:rsidP="001A1A5B">
      <w:pPr>
        <w:pStyle w:val="Heading2"/>
        <w:rPr>
          <w:rFonts w:ascii="Arial" w:hAnsi="Arial" w:cs="Arial"/>
          <w:bCs w:val="0"/>
          <w:sz w:val="20"/>
          <w:szCs w:val="20"/>
          <w:lang w:val="en-US"/>
        </w:rPr>
      </w:pPr>
      <w:r w:rsidRPr="001A1A5B">
        <w:rPr>
          <w:rFonts w:ascii="Arial" w:hAnsi="Arial" w:cs="Arial"/>
          <w:b w:val="0"/>
          <w:bCs w:val="0"/>
          <w:sz w:val="20"/>
          <w:szCs w:val="20"/>
          <w:lang w:val="en-US"/>
        </w:rPr>
        <w:t>The following is an overview of the National Code</w:t>
      </w:r>
      <w:r w:rsidR="001A1A5B" w:rsidRPr="001A1A5B">
        <w:rPr>
          <w:rFonts w:ascii="Arial" w:hAnsi="Arial" w:cs="Arial"/>
          <w:b w:val="0"/>
          <w:bCs w:val="0"/>
          <w:sz w:val="20"/>
          <w:szCs w:val="20"/>
          <w:lang w:val="en-US"/>
        </w:rPr>
        <w:t xml:space="preserve">. For a full and complete understanding of the National Code it is recommended that you refer to the </w:t>
      </w:r>
      <w:hyperlink r:id="rId5" w:history="1">
        <w:r w:rsidR="001A1A5B" w:rsidRPr="001A1A5B">
          <w:rPr>
            <w:rStyle w:val="Hyperlink"/>
            <w:rFonts w:ascii="Arial" w:hAnsi="Arial" w:cs="Arial"/>
            <w:b w:val="0"/>
            <w:sz w:val="20"/>
            <w:szCs w:val="20"/>
          </w:rPr>
          <w:t>National Code of Practice for Providers of Education and Training to Overseas Students 2018.</w:t>
        </w:r>
      </w:hyperlink>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1 – Marketing information and practices</w:t>
      </w:r>
    </w:p>
    <w:p w:rsidR="00F01E28" w:rsidRPr="001A1A5B" w:rsidRDefault="00967182" w:rsidP="005E13F9">
      <w:pPr>
        <w:numPr>
          <w:ilvl w:val="2"/>
          <w:numId w:val="1"/>
        </w:numPr>
        <w:rPr>
          <w:rFonts w:ascii="Arial" w:hAnsi="Arial" w:cs="Arial"/>
          <w:sz w:val="20"/>
          <w:szCs w:val="20"/>
        </w:rPr>
      </w:pPr>
      <w:r w:rsidRPr="001A1A5B">
        <w:rPr>
          <w:rFonts w:ascii="Arial" w:hAnsi="Arial" w:cs="Arial"/>
          <w:sz w:val="20"/>
          <w:szCs w:val="20"/>
          <w:lang w:val="en-US"/>
        </w:rPr>
        <w:t>Marketing and promotion of the University’s programs must not be false or misleading</w:t>
      </w:r>
    </w:p>
    <w:p w:rsidR="00F01E28" w:rsidRPr="001A1A5B" w:rsidRDefault="00967182" w:rsidP="005E13F9">
      <w:pPr>
        <w:numPr>
          <w:ilvl w:val="2"/>
          <w:numId w:val="1"/>
        </w:numPr>
        <w:rPr>
          <w:rFonts w:ascii="Arial" w:hAnsi="Arial" w:cs="Arial"/>
          <w:sz w:val="20"/>
          <w:szCs w:val="20"/>
        </w:rPr>
      </w:pPr>
      <w:r w:rsidRPr="001A1A5B">
        <w:rPr>
          <w:rFonts w:ascii="Arial" w:hAnsi="Arial" w:cs="Arial"/>
          <w:sz w:val="20"/>
          <w:szCs w:val="20"/>
          <w:lang w:val="en-US"/>
        </w:rPr>
        <w:t>The University must provide clarity a</w:t>
      </w:r>
      <w:r w:rsidRPr="001A1A5B">
        <w:rPr>
          <w:rFonts w:ascii="Arial" w:hAnsi="Arial" w:cs="Arial"/>
          <w:sz w:val="20"/>
          <w:szCs w:val="20"/>
          <w:lang w:val="en-US"/>
        </w:rPr>
        <w:t>bout a program’s prerequisites, including English language requirements</w:t>
      </w:r>
    </w:p>
    <w:p w:rsidR="00F01E28" w:rsidRPr="001A1A5B" w:rsidRDefault="00967182" w:rsidP="005E13F9">
      <w:pPr>
        <w:numPr>
          <w:ilvl w:val="2"/>
          <w:numId w:val="1"/>
        </w:numPr>
        <w:rPr>
          <w:rFonts w:ascii="Arial" w:hAnsi="Arial" w:cs="Arial"/>
          <w:sz w:val="20"/>
          <w:szCs w:val="20"/>
        </w:rPr>
      </w:pPr>
      <w:r w:rsidRPr="001A1A5B">
        <w:rPr>
          <w:rFonts w:ascii="Arial" w:hAnsi="Arial" w:cs="Arial"/>
          <w:sz w:val="20"/>
          <w:szCs w:val="20"/>
          <w:lang w:val="en-US"/>
        </w:rPr>
        <w:t>The University must not provide migration advice</w:t>
      </w:r>
    </w:p>
    <w:p w:rsidR="00F01E28" w:rsidRPr="001A1A5B" w:rsidRDefault="00967182" w:rsidP="005E13F9">
      <w:pPr>
        <w:numPr>
          <w:ilvl w:val="2"/>
          <w:numId w:val="1"/>
        </w:numPr>
        <w:rPr>
          <w:rFonts w:ascii="Arial" w:hAnsi="Arial" w:cs="Arial"/>
          <w:sz w:val="20"/>
          <w:szCs w:val="20"/>
        </w:rPr>
      </w:pPr>
      <w:r w:rsidRPr="001A1A5B">
        <w:rPr>
          <w:rFonts w:ascii="Arial" w:hAnsi="Arial" w:cs="Arial"/>
          <w:sz w:val="20"/>
          <w:szCs w:val="20"/>
          <w:lang w:val="en-US"/>
        </w:rPr>
        <w:t xml:space="preserve">When promoting </w:t>
      </w:r>
      <w:r w:rsidR="00A839E8" w:rsidRPr="001A1A5B">
        <w:rPr>
          <w:rFonts w:ascii="Arial" w:hAnsi="Arial" w:cs="Arial"/>
          <w:sz w:val="20"/>
          <w:szCs w:val="20"/>
          <w:lang w:val="en-US"/>
        </w:rPr>
        <w:t>programs,</w:t>
      </w:r>
      <w:r w:rsidRPr="001A1A5B">
        <w:rPr>
          <w:rFonts w:ascii="Arial" w:hAnsi="Arial" w:cs="Arial"/>
          <w:sz w:val="20"/>
          <w:szCs w:val="20"/>
          <w:lang w:val="en-US"/>
        </w:rPr>
        <w:t xml:space="preserve"> the University’s registered name and CRICOS provider code 00123M must be displayed. This includes email signatures.</w:t>
      </w:r>
    </w:p>
    <w:p w:rsidR="00F01E28" w:rsidRPr="001A1A5B" w:rsidRDefault="00967182" w:rsidP="005E13F9">
      <w:pPr>
        <w:numPr>
          <w:ilvl w:val="2"/>
          <w:numId w:val="1"/>
        </w:numPr>
        <w:rPr>
          <w:rFonts w:ascii="Arial" w:hAnsi="Arial" w:cs="Arial"/>
          <w:sz w:val="20"/>
          <w:szCs w:val="20"/>
        </w:rPr>
      </w:pPr>
      <w:r w:rsidRPr="001A1A5B">
        <w:rPr>
          <w:rFonts w:ascii="Arial" w:hAnsi="Arial" w:cs="Arial"/>
          <w:sz w:val="20"/>
          <w:szCs w:val="20"/>
          <w:lang w:val="en-US"/>
        </w:rPr>
        <w:t>Programs cannot be promoted to overseas students before they have been CRICOS registered</w:t>
      </w:r>
    </w:p>
    <w:p w:rsidR="00F01E28" w:rsidRPr="001A1A5B" w:rsidRDefault="00967182" w:rsidP="005E13F9">
      <w:pPr>
        <w:numPr>
          <w:ilvl w:val="2"/>
          <w:numId w:val="1"/>
        </w:numPr>
        <w:rPr>
          <w:rFonts w:ascii="Arial" w:hAnsi="Arial" w:cs="Arial"/>
          <w:sz w:val="20"/>
          <w:szCs w:val="20"/>
        </w:rPr>
      </w:pPr>
      <w:r w:rsidRPr="001A1A5B">
        <w:rPr>
          <w:rFonts w:ascii="Arial" w:hAnsi="Arial" w:cs="Arial"/>
          <w:sz w:val="20"/>
          <w:szCs w:val="20"/>
          <w:lang w:val="en-US"/>
        </w:rPr>
        <w:t xml:space="preserve">The University must not actively recruit students </w:t>
      </w:r>
      <w:r w:rsidRPr="001A1A5B">
        <w:rPr>
          <w:rFonts w:ascii="Arial" w:hAnsi="Arial" w:cs="Arial"/>
          <w:sz w:val="20"/>
          <w:szCs w:val="20"/>
          <w:lang w:val="en-US"/>
        </w:rPr>
        <w:t>who are within their first six months of study with another Australian provider</w:t>
      </w:r>
    </w:p>
    <w:p w:rsidR="005E13F9" w:rsidRPr="001A1A5B" w:rsidRDefault="005E13F9">
      <w:pPr>
        <w:rPr>
          <w:rFonts w:ascii="Arial" w:hAnsi="Arial" w:cs="Arial"/>
          <w:sz w:val="20"/>
          <w:szCs w:val="20"/>
        </w:rPr>
      </w:pP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2 – Recruitment of an overseas student</w:t>
      </w:r>
    </w:p>
    <w:p w:rsidR="00F01E28" w:rsidRPr="001A1A5B" w:rsidRDefault="00967182" w:rsidP="005E13F9">
      <w:pPr>
        <w:numPr>
          <w:ilvl w:val="2"/>
          <w:numId w:val="2"/>
        </w:numPr>
        <w:rPr>
          <w:rFonts w:ascii="Arial" w:hAnsi="Arial" w:cs="Arial"/>
          <w:sz w:val="20"/>
          <w:szCs w:val="20"/>
        </w:rPr>
      </w:pPr>
      <w:r w:rsidRPr="001A1A5B">
        <w:rPr>
          <w:rFonts w:ascii="Arial" w:hAnsi="Arial" w:cs="Arial"/>
          <w:sz w:val="20"/>
          <w:szCs w:val="20"/>
          <w:lang w:val="en-US"/>
        </w:rPr>
        <w:t>Specific information must be provided to students prior to accepting them into a program. This includes minimum levels of Engli</w:t>
      </w:r>
      <w:r w:rsidRPr="001A1A5B">
        <w:rPr>
          <w:rFonts w:ascii="Arial" w:hAnsi="Arial" w:cs="Arial"/>
          <w:sz w:val="20"/>
          <w:szCs w:val="20"/>
          <w:lang w:val="en-US"/>
        </w:rPr>
        <w:t>sh, educational qualifications, work experience and course credit.</w:t>
      </w:r>
    </w:p>
    <w:p w:rsidR="00F01E28" w:rsidRPr="001A1A5B" w:rsidRDefault="00967182" w:rsidP="005E13F9">
      <w:pPr>
        <w:numPr>
          <w:ilvl w:val="2"/>
          <w:numId w:val="2"/>
        </w:numPr>
        <w:rPr>
          <w:rFonts w:ascii="Arial" w:hAnsi="Arial" w:cs="Arial"/>
          <w:sz w:val="20"/>
          <w:szCs w:val="20"/>
        </w:rPr>
      </w:pPr>
      <w:r w:rsidRPr="001A1A5B">
        <w:rPr>
          <w:rFonts w:ascii="Arial" w:hAnsi="Arial" w:cs="Arial"/>
          <w:sz w:val="20"/>
          <w:szCs w:val="20"/>
          <w:lang w:val="en-US"/>
        </w:rPr>
        <w:t>The University must have policies and processes for assessing the student’s English, qualifications and work experience to ensure it is sufficient to enter the program.</w:t>
      </w:r>
    </w:p>
    <w:p w:rsidR="00F01E28" w:rsidRPr="001A1A5B" w:rsidRDefault="00967182" w:rsidP="005E13F9">
      <w:pPr>
        <w:numPr>
          <w:ilvl w:val="2"/>
          <w:numId w:val="2"/>
        </w:numPr>
        <w:rPr>
          <w:rFonts w:ascii="Arial" w:hAnsi="Arial" w:cs="Arial"/>
          <w:sz w:val="20"/>
          <w:szCs w:val="20"/>
        </w:rPr>
      </w:pPr>
      <w:r w:rsidRPr="001A1A5B">
        <w:rPr>
          <w:rFonts w:ascii="Arial" w:hAnsi="Arial" w:cs="Arial"/>
          <w:sz w:val="20"/>
          <w:szCs w:val="20"/>
          <w:lang w:val="en-US"/>
        </w:rPr>
        <w:t xml:space="preserve">The University must </w:t>
      </w:r>
      <w:r w:rsidRPr="001A1A5B">
        <w:rPr>
          <w:rFonts w:ascii="Arial" w:hAnsi="Arial" w:cs="Arial"/>
          <w:sz w:val="20"/>
          <w:szCs w:val="20"/>
          <w:lang w:val="en-US"/>
        </w:rPr>
        <w:t>have a policy and process for assessing credit. It must keep a record of the decision to award credit and provide the student with a written record.</w:t>
      </w:r>
    </w:p>
    <w:p w:rsidR="00F01E28" w:rsidRPr="001A1A5B" w:rsidRDefault="00967182" w:rsidP="005E13F9">
      <w:pPr>
        <w:numPr>
          <w:ilvl w:val="2"/>
          <w:numId w:val="2"/>
        </w:numPr>
        <w:rPr>
          <w:rFonts w:ascii="Arial" w:hAnsi="Arial" w:cs="Arial"/>
          <w:sz w:val="20"/>
          <w:szCs w:val="20"/>
        </w:rPr>
      </w:pPr>
      <w:r w:rsidRPr="001A1A5B">
        <w:rPr>
          <w:rFonts w:ascii="Arial" w:hAnsi="Arial" w:cs="Arial"/>
          <w:sz w:val="20"/>
          <w:szCs w:val="20"/>
          <w:lang w:val="en-US"/>
        </w:rPr>
        <w:t>If credit reduces the duration of the student’s program this must be reflected on their Confirmation of Enr</w:t>
      </w:r>
      <w:r w:rsidRPr="001A1A5B">
        <w:rPr>
          <w:rFonts w:ascii="Arial" w:hAnsi="Arial" w:cs="Arial"/>
          <w:sz w:val="20"/>
          <w:szCs w:val="20"/>
          <w:lang w:val="en-US"/>
        </w:rPr>
        <w:t>olment (</w:t>
      </w:r>
      <w:proofErr w:type="spellStart"/>
      <w:r w:rsidRPr="001A1A5B">
        <w:rPr>
          <w:rFonts w:ascii="Arial" w:hAnsi="Arial" w:cs="Arial"/>
          <w:sz w:val="20"/>
          <w:szCs w:val="20"/>
          <w:lang w:val="en-US"/>
        </w:rPr>
        <w:t>CoE</w:t>
      </w:r>
      <w:proofErr w:type="spellEnd"/>
      <w:r w:rsidRPr="001A1A5B">
        <w:rPr>
          <w:rFonts w:ascii="Arial" w:hAnsi="Arial" w:cs="Arial"/>
          <w:sz w:val="20"/>
          <w:szCs w:val="20"/>
          <w:lang w:val="en-US"/>
        </w:rPr>
        <w:t>)</w:t>
      </w:r>
    </w:p>
    <w:p w:rsidR="005E13F9" w:rsidRPr="001A1A5B" w:rsidRDefault="005E13F9" w:rsidP="001A1A5B">
      <w:pPr>
        <w:rPr>
          <w:rFonts w:ascii="Arial" w:hAnsi="Arial" w:cs="Arial"/>
          <w:sz w:val="20"/>
          <w:szCs w:val="20"/>
        </w:rPr>
      </w:pPr>
      <w:r w:rsidRPr="001A1A5B">
        <w:rPr>
          <w:rFonts w:ascii="Arial" w:hAnsi="Arial" w:cs="Arial"/>
          <w:b/>
          <w:bCs/>
          <w:sz w:val="20"/>
          <w:szCs w:val="20"/>
          <w:lang w:val="en-US"/>
        </w:rPr>
        <w:t>Standard 3 – Formalisation of enrolment and written agreements</w:t>
      </w:r>
    </w:p>
    <w:p w:rsidR="005E13F9" w:rsidRPr="001A1A5B" w:rsidRDefault="005E13F9" w:rsidP="005E13F9">
      <w:pPr>
        <w:numPr>
          <w:ilvl w:val="0"/>
          <w:numId w:val="2"/>
        </w:numPr>
        <w:rPr>
          <w:rFonts w:ascii="Arial" w:hAnsi="Arial" w:cs="Arial"/>
          <w:sz w:val="20"/>
          <w:szCs w:val="20"/>
        </w:rPr>
      </w:pPr>
      <w:r w:rsidRPr="001A1A5B">
        <w:rPr>
          <w:rFonts w:ascii="Arial" w:hAnsi="Arial" w:cs="Arial"/>
          <w:sz w:val="20"/>
          <w:szCs w:val="20"/>
          <w:lang w:val="en-US"/>
        </w:rPr>
        <w:t>Students must accept a written offer from the University which contains specified information such as program name, location, mode of delivery, tuition fees, refund policy, circumstances in which their personal information will be shared and the complaints and appeals process.</w:t>
      </w:r>
    </w:p>
    <w:p w:rsidR="005E13F9" w:rsidRPr="001A1A5B" w:rsidRDefault="005E13F9" w:rsidP="005E13F9">
      <w:pPr>
        <w:numPr>
          <w:ilvl w:val="0"/>
          <w:numId w:val="2"/>
        </w:numPr>
        <w:rPr>
          <w:rFonts w:ascii="Arial" w:hAnsi="Arial" w:cs="Arial"/>
          <w:sz w:val="20"/>
          <w:szCs w:val="20"/>
        </w:rPr>
      </w:pPr>
      <w:r w:rsidRPr="001A1A5B">
        <w:rPr>
          <w:rFonts w:ascii="Arial" w:hAnsi="Arial" w:cs="Arial"/>
          <w:sz w:val="20"/>
          <w:szCs w:val="20"/>
          <w:lang w:val="en-US"/>
        </w:rPr>
        <w:t>All international students must advise of a change to their contact details within 7 days.</w:t>
      </w: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4 – Education agents</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w:t>
      </w:r>
    </w:p>
    <w:p w:rsidR="00F01E28" w:rsidRPr="001A1A5B" w:rsidRDefault="00967182" w:rsidP="005E13F9">
      <w:pPr>
        <w:numPr>
          <w:ilvl w:val="2"/>
          <w:numId w:val="3"/>
        </w:numPr>
        <w:rPr>
          <w:rFonts w:ascii="Arial" w:hAnsi="Arial" w:cs="Arial"/>
          <w:sz w:val="20"/>
          <w:szCs w:val="20"/>
        </w:rPr>
      </w:pPr>
      <w:r w:rsidRPr="001A1A5B">
        <w:rPr>
          <w:rFonts w:ascii="Arial" w:hAnsi="Arial" w:cs="Arial"/>
          <w:sz w:val="20"/>
          <w:szCs w:val="20"/>
          <w:lang w:val="en-US"/>
        </w:rPr>
        <w:t>Have a written a</w:t>
      </w:r>
      <w:r w:rsidRPr="001A1A5B">
        <w:rPr>
          <w:rFonts w:ascii="Arial" w:hAnsi="Arial" w:cs="Arial"/>
          <w:sz w:val="20"/>
          <w:szCs w:val="20"/>
          <w:lang w:val="en-US"/>
        </w:rPr>
        <w:t>greement which includes specific information outlined in the code with any education agent it engages to formally represent it.</w:t>
      </w:r>
    </w:p>
    <w:p w:rsidR="00F01E28" w:rsidRPr="001A1A5B" w:rsidRDefault="00967182" w:rsidP="005E13F9">
      <w:pPr>
        <w:numPr>
          <w:ilvl w:val="2"/>
          <w:numId w:val="3"/>
        </w:numPr>
        <w:rPr>
          <w:rFonts w:ascii="Arial" w:hAnsi="Arial" w:cs="Arial"/>
          <w:sz w:val="20"/>
          <w:szCs w:val="20"/>
        </w:rPr>
      </w:pPr>
      <w:r w:rsidRPr="001A1A5B">
        <w:rPr>
          <w:rFonts w:ascii="Arial" w:hAnsi="Arial" w:cs="Arial"/>
          <w:sz w:val="20"/>
          <w:szCs w:val="20"/>
          <w:lang w:val="en-US"/>
        </w:rPr>
        <w:t>Monitor the activities of its agents and take corrective action, including termination if they do not comply with the terms of t</w:t>
      </w:r>
      <w:r w:rsidRPr="001A1A5B">
        <w:rPr>
          <w:rFonts w:ascii="Arial" w:hAnsi="Arial" w:cs="Arial"/>
          <w:sz w:val="20"/>
          <w:szCs w:val="20"/>
          <w:lang w:val="en-US"/>
        </w:rPr>
        <w:t>he agreement.</w:t>
      </w:r>
    </w:p>
    <w:p w:rsidR="00F01E28" w:rsidRPr="001A1A5B" w:rsidRDefault="00967182" w:rsidP="005E13F9">
      <w:pPr>
        <w:numPr>
          <w:ilvl w:val="2"/>
          <w:numId w:val="3"/>
        </w:numPr>
        <w:rPr>
          <w:rFonts w:ascii="Arial" w:hAnsi="Arial" w:cs="Arial"/>
          <w:sz w:val="20"/>
          <w:szCs w:val="20"/>
        </w:rPr>
      </w:pPr>
      <w:r w:rsidRPr="001A1A5B">
        <w:rPr>
          <w:rFonts w:ascii="Arial" w:hAnsi="Arial" w:cs="Arial"/>
          <w:sz w:val="20"/>
          <w:szCs w:val="20"/>
          <w:lang w:val="en-US"/>
        </w:rPr>
        <w:lastRenderedPageBreak/>
        <w:t>Ensure that its education agents have access to up-to-date and accurate marketing information and do not engage in dishonest practices.</w:t>
      </w: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5 – Younger overseas students</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w:t>
      </w:r>
    </w:p>
    <w:p w:rsidR="00F01E28" w:rsidRPr="001A1A5B" w:rsidRDefault="00967182" w:rsidP="005E13F9">
      <w:pPr>
        <w:numPr>
          <w:ilvl w:val="2"/>
          <w:numId w:val="4"/>
        </w:numPr>
        <w:rPr>
          <w:rFonts w:ascii="Arial" w:hAnsi="Arial" w:cs="Arial"/>
          <w:sz w:val="20"/>
          <w:szCs w:val="20"/>
        </w:rPr>
      </w:pPr>
      <w:r w:rsidRPr="001A1A5B">
        <w:rPr>
          <w:rFonts w:ascii="Arial" w:hAnsi="Arial" w:cs="Arial"/>
          <w:sz w:val="20"/>
          <w:szCs w:val="20"/>
          <w:lang w:val="en-US"/>
        </w:rPr>
        <w:t xml:space="preserve">Meet all Commonwealth, state and territory </w:t>
      </w:r>
      <w:r w:rsidRPr="001A1A5B">
        <w:rPr>
          <w:rFonts w:ascii="Arial" w:hAnsi="Arial" w:cs="Arial"/>
          <w:sz w:val="20"/>
          <w:szCs w:val="20"/>
          <w:lang w:val="en-US"/>
        </w:rPr>
        <w:t>regulatory requirements relating to child welfare.</w:t>
      </w:r>
    </w:p>
    <w:p w:rsidR="00F01E28" w:rsidRPr="001A1A5B" w:rsidRDefault="00967182" w:rsidP="005E13F9">
      <w:pPr>
        <w:numPr>
          <w:ilvl w:val="2"/>
          <w:numId w:val="4"/>
        </w:numPr>
        <w:rPr>
          <w:rFonts w:ascii="Arial" w:hAnsi="Arial" w:cs="Arial"/>
          <w:sz w:val="20"/>
          <w:szCs w:val="20"/>
        </w:rPr>
      </w:pPr>
      <w:r w:rsidRPr="001A1A5B">
        <w:rPr>
          <w:rFonts w:ascii="Arial" w:hAnsi="Arial" w:cs="Arial"/>
          <w:sz w:val="20"/>
          <w:szCs w:val="20"/>
          <w:lang w:val="en-US"/>
        </w:rPr>
        <w:t>Provide age appropriate information about who to contact in emergency situations and how to seek assistance in the event of sexual/physical abuse.</w:t>
      </w:r>
    </w:p>
    <w:p w:rsidR="00F01E28" w:rsidRPr="001A1A5B" w:rsidRDefault="00967182" w:rsidP="005E13F9">
      <w:pPr>
        <w:numPr>
          <w:ilvl w:val="2"/>
          <w:numId w:val="4"/>
        </w:numPr>
        <w:rPr>
          <w:rFonts w:ascii="Arial" w:hAnsi="Arial" w:cs="Arial"/>
          <w:sz w:val="20"/>
          <w:szCs w:val="20"/>
        </w:rPr>
      </w:pPr>
      <w:r w:rsidRPr="001A1A5B">
        <w:rPr>
          <w:rFonts w:ascii="Arial" w:hAnsi="Arial" w:cs="Arial"/>
          <w:sz w:val="20"/>
          <w:szCs w:val="20"/>
          <w:lang w:val="en-US"/>
        </w:rPr>
        <w:t>Where the University takes responsibility for the accommod</w:t>
      </w:r>
      <w:r w:rsidRPr="001A1A5B">
        <w:rPr>
          <w:rFonts w:ascii="Arial" w:hAnsi="Arial" w:cs="Arial"/>
          <w:sz w:val="20"/>
          <w:szCs w:val="20"/>
          <w:lang w:val="en-US"/>
        </w:rPr>
        <w:t>ation, support and welfare of students under 18 years of age it ensures:</w:t>
      </w:r>
    </w:p>
    <w:p w:rsidR="00F01E28" w:rsidRPr="001A1A5B" w:rsidRDefault="00967182" w:rsidP="001A1A5B">
      <w:pPr>
        <w:pStyle w:val="ListParagraph"/>
        <w:numPr>
          <w:ilvl w:val="2"/>
          <w:numId w:val="4"/>
        </w:numPr>
        <w:rPr>
          <w:rFonts w:ascii="Arial" w:hAnsi="Arial" w:cs="Arial"/>
          <w:sz w:val="20"/>
          <w:szCs w:val="20"/>
        </w:rPr>
      </w:pPr>
      <w:r w:rsidRPr="001A1A5B">
        <w:rPr>
          <w:rFonts w:ascii="Arial" w:hAnsi="Arial" w:cs="Arial"/>
          <w:sz w:val="20"/>
          <w:szCs w:val="20"/>
          <w:lang w:val="en-US"/>
        </w:rPr>
        <w:t>Those adults involved have the appropriate working with children clearances;</w:t>
      </w:r>
    </w:p>
    <w:p w:rsidR="00F01E28" w:rsidRPr="001A1A5B" w:rsidRDefault="00967182" w:rsidP="001A1A5B">
      <w:pPr>
        <w:pStyle w:val="ListParagraph"/>
        <w:numPr>
          <w:ilvl w:val="2"/>
          <w:numId w:val="4"/>
        </w:numPr>
        <w:rPr>
          <w:rFonts w:ascii="Arial" w:hAnsi="Arial" w:cs="Arial"/>
          <w:sz w:val="20"/>
          <w:szCs w:val="20"/>
        </w:rPr>
      </w:pPr>
      <w:r w:rsidRPr="001A1A5B">
        <w:rPr>
          <w:rFonts w:ascii="Arial" w:hAnsi="Arial" w:cs="Arial"/>
          <w:sz w:val="20"/>
          <w:szCs w:val="20"/>
          <w:lang w:val="en-US"/>
        </w:rPr>
        <w:t xml:space="preserve">Accommodation is appropriate; </w:t>
      </w:r>
    </w:p>
    <w:p w:rsidR="00F01E28" w:rsidRPr="001A1A5B" w:rsidRDefault="00967182" w:rsidP="001A1A5B">
      <w:pPr>
        <w:pStyle w:val="ListParagraph"/>
        <w:numPr>
          <w:ilvl w:val="2"/>
          <w:numId w:val="4"/>
        </w:numPr>
        <w:rPr>
          <w:rFonts w:ascii="Arial" w:hAnsi="Arial" w:cs="Arial"/>
          <w:sz w:val="20"/>
          <w:szCs w:val="20"/>
        </w:rPr>
      </w:pPr>
      <w:r w:rsidRPr="001A1A5B">
        <w:rPr>
          <w:rFonts w:ascii="Arial" w:hAnsi="Arial" w:cs="Arial"/>
          <w:sz w:val="20"/>
          <w:szCs w:val="20"/>
          <w:lang w:val="en-US"/>
        </w:rPr>
        <w:t>There is a process for managing emergency situations;</w:t>
      </w:r>
    </w:p>
    <w:p w:rsidR="00F01E28" w:rsidRPr="001A1A5B" w:rsidRDefault="00967182" w:rsidP="001A1A5B">
      <w:pPr>
        <w:pStyle w:val="ListParagraph"/>
        <w:numPr>
          <w:ilvl w:val="2"/>
          <w:numId w:val="4"/>
        </w:numPr>
        <w:rPr>
          <w:rFonts w:ascii="Arial" w:hAnsi="Arial" w:cs="Arial"/>
          <w:sz w:val="20"/>
          <w:szCs w:val="20"/>
        </w:rPr>
      </w:pPr>
      <w:r w:rsidRPr="001A1A5B">
        <w:rPr>
          <w:rFonts w:ascii="Arial" w:hAnsi="Arial" w:cs="Arial"/>
          <w:sz w:val="20"/>
          <w:szCs w:val="20"/>
          <w:lang w:val="en-US"/>
        </w:rPr>
        <w:t>Reasonable efforts ar</w:t>
      </w:r>
      <w:r w:rsidRPr="001A1A5B">
        <w:rPr>
          <w:rFonts w:ascii="Arial" w:hAnsi="Arial" w:cs="Arial"/>
          <w:sz w:val="20"/>
          <w:szCs w:val="20"/>
          <w:lang w:val="en-US"/>
        </w:rPr>
        <w:t xml:space="preserve">e made to locate a student if unable to contact them, including notifying the police </w:t>
      </w:r>
    </w:p>
    <w:p w:rsidR="005E13F9" w:rsidRPr="001A1A5B" w:rsidRDefault="005E13F9" w:rsidP="005E13F9">
      <w:pPr>
        <w:rPr>
          <w:rFonts w:ascii="Arial" w:hAnsi="Arial" w:cs="Arial"/>
          <w:sz w:val="20"/>
          <w:szCs w:val="20"/>
        </w:rPr>
      </w:pPr>
      <w:r w:rsidRPr="001A1A5B">
        <w:rPr>
          <w:rFonts w:ascii="Arial" w:hAnsi="Arial" w:cs="Arial"/>
          <w:sz w:val="20"/>
          <w:szCs w:val="20"/>
          <w:lang w:val="en-US"/>
        </w:rPr>
        <w:t xml:space="preserve">The welfare </w:t>
      </w:r>
      <w:r w:rsidR="001A1A5B">
        <w:rPr>
          <w:rFonts w:ascii="Arial" w:hAnsi="Arial" w:cs="Arial"/>
          <w:sz w:val="20"/>
          <w:szCs w:val="20"/>
          <w:lang w:val="en-US"/>
        </w:rPr>
        <w:t xml:space="preserve">monitoring </w:t>
      </w:r>
      <w:r w:rsidRPr="001A1A5B">
        <w:rPr>
          <w:rFonts w:ascii="Arial" w:hAnsi="Arial" w:cs="Arial"/>
          <w:sz w:val="20"/>
          <w:szCs w:val="20"/>
          <w:lang w:val="en-US"/>
        </w:rPr>
        <w:t xml:space="preserve">arrangements for students travelling to Australia without a guardian are managed by University of Adelaide College on behalf of the University. </w:t>
      </w:r>
      <w:r w:rsidR="001A1A5B">
        <w:rPr>
          <w:rFonts w:ascii="Arial" w:hAnsi="Arial" w:cs="Arial"/>
          <w:sz w:val="20"/>
          <w:szCs w:val="20"/>
          <w:lang w:val="en-US"/>
        </w:rPr>
        <w:t>The University requires s</w:t>
      </w:r>
      <w:r w:rsidRPr="001A1A5B">
        <w:rPr>
          <w:rFonts w:ascii="Arial" w:hAnsi="Arial" w:cs="Arial"/>
          <w:sz w:val="20"/>
          <w:szCs w:val="20"/>
          <w:lang w:val="en-US"/>
        </w:rPr>
        <w:t xml:space="preserve">tudents </w:t>
      </w:r>
      <w:r w:rsidR="001A1A5B">
        <w:rPr>
          <w:rFonts w:ascii="Arial" w:hAnsi="Arial" w:cs="Arial"/>
          <w:sz w:val="20"/>
          <w:szCs w:val="20"/>
          <w:lang w:val="en-US"/>
        </w:rPr>
        <w:t>to</w:t>
      </w:r>
      <w:r w:rsidRPr="001A1A5B">
        <w:rPr>
          <w:rFonts w:ascii="Arial" w:hAnsi="Arial" w:cs="Arial"/>
          <w:sz w:val="20"/>
          <w:szCs w:val="20"/>
          <w:lang w:val="en-US"/>
        </w:rPr>
        <w:t xml:space="preserve"> be at least 17 years of age</w:t>
      </w:r>
      <w:r w:rsidR="001A1A5B">
        <w:rPr>
          <w:rFonts w:ascii="Arial" w:hAnsi="Arial" w:cs="Arial"/>
          <w:sz w:val="20"/>
          <w:szCs w:val="20"/>
          <w:lang w:val="en-US"/>
        </w:rPr>
        <w:t xml:space="preserve"> to be eligible for the welfare monitoring.</w:t>
      </w: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6 – Overseas student support services</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w:t>
      </w:r>
    </w:p>
    <w:p w:rsidR="00F01E28" w:rsidRPr="001A1A5B" w:rsidRDefault="00967182" w:rsidP="005E13F9">
      <w:pPr>
        <w:numPr>
          <w:ilvl w:val="2"/>
          <w:numId w:val="5"/>
        </w:numPr>
        <w:rPr>
          <w:rFonts w:ascii="Arial" w:hAnsi="Arial" w:cs="Arial"/>
          <w:sz w:val="20"/>
          <w:szCs w:val="20"/>
        </w:rPr>
      </w:pPr>
      <w:r w:rsidRPr="001A1A5B">
        <w:rPr>
          <w:rFonts w:ascii="Arial" w:hAnsi="Arial" w:cs="Arial"/>
          <w:sz w:val="20"/>
          <w:szCs w:val="20"/>
          <w:lang w:val="en-US"/>
        </w:rPr>
        <w:t>Support students to adjust to study and life in Australia by providing an age and cu</w:t>
      </w:r>
      <w:r w:rsidRPr="001A1A5B">
        <w:rPr>
          <w:rFonts w:ascii="Arial" w:hAnsi="Arial" w:cs="Arial"/>
          <w:sz w:val="20"/>
          <w:szCs w:val="20"/>
          <w:lang w:val="en-US"/>
        </w:rPr>
        <w:t>lturally appropriate orientation program which provides specific information such as support services available, workplace rights, appeal rights, etc.</w:t>
      </w:r>
    </w:p>
    <w:p w:rsidR="00F01E28" w:rsidRPr="001A1A5B" w:rsidRDefault="00967182" w:rsidP="005E13F9">
      <w:pPr>
        <w:numPr>
          <w:ilvl w:val="2"/>
          <w:numId w:val="5"/>
        </w:numPr>
        <w:rPr>
          <w:rFonts w:ascii="Arial" w:hAnsi="Arial" w:cs="Arial"/>
          <w:sz w:val="20"/>
          <w:szCs w:val="20"/>
        </w:rPr>
      </w:pPr>
      <w:r w:rsidRPr="001A1A5B">
        <w:rPr>
          <w:rFonts w:ascii="Arial" w:hAnsi="Arial" w:cs="Arial"/>
          <w:sz w:val="20"/>
          <w:szCs w:val="20"/>
          <w:lang w:val="en-US"/>
        </w:rPr>
        <w:t xml:space="preserve">Provide reasonable support to students to enable them to achieve expected learning outcomes irrespective </w:t>
      </w:r>
      <w:r w:rsidRPr="001A1A5B">
        <w:rPr>
          <w:rFonts w:ascii="Arial" w:hAnsi="Arial" w:cs="Arial"/>
          <w:sz w:val="20"/>
          <w:szCs w:val="20"/>
          <w:lang w:val="en-US"/>
        </w:rPr>
        <w:t>of whether they are studying face to face or by remote learning.</w:t>
      </w:r>
    </w:p>
    <w:p w:rsidR="00F01E28" w:rsidRPr="001A1A5B" w:rsidRDefault="00967182" w:rsidP="005E13F9">
      <w:pPr>
        <w:numPr>
          <w:ilvl w:val="2"/>
          <w:numId w:val="5"/>
        </w:numPr>
        <w:rPr>
          <w:rFonts w:ascii="Arial" w:hAnsi="Arial" w:cs="Arial"/>
          <w:sz w:val="20"/>
          <w:szCs w:val="20"/>
        </w:rPr>
      </w:pPr>
      <w:r w:rsidRPr="001A1A5B">
        <w:rPr>
          <w:rFonts w:ascii="Arial" w:hAnsi="Arial" w:cs="Arial"/>
          <w:sz w:val="20"/>
          <w:szCs w:val="20"/>
          <w:lang w:val="en-US"/>
        </w:rPr>
        <w:t>Have a designated point of contact for overseas students such as International Student Support. The team must be appropriately resourced.</w:t>
      </w:r>
    </w:p>
    <w:p w:rsidR="00F01E28" w:rsidRPr="001A1A5B" w:rsidRDefault="00967182" w:rsidP="005E13F9">
      <w:pPr>
        <w:numPr>
          <w:ilvl w:val="2"/>
          <w:numId w:val="5"/>
        </w:numPr>
        <w:rPr>
          <w:rFonts w:ascii="Arial" w:hAnsi="Arial" w:cs="Arial"/>
          <w:sz w:val="20"/>
          <w:szCs w:val="20"/>
        </w:rPr>
      </w:pPr>
      <w:r w:rsidRPr="001A1A5B">
        <w:rPr>
          <w:rFonts w:ascii="Arial" w:hAnsi="Arial" w:cs="Arial"/>
          <w:sz w:val="20"/>
          <w:szCs w:val="20"/>
          <w:lang w:val="en-US"/>
        </w:rPr>
        <w:t>Staff who work with international students must be aw</w:t>
      </w:r>
      <w:r w:rsidRPr="001A1A5B">
        <w:rPr>
          <w:rFonts w:ascii="Arial" w:hAnsi="Arial" w:cs="Arial"/>
          <w:sz w:val="20"/>
          <w:szCs w:val="20"/>
          <w:lang w:val="en-US"/>
        </w:rPr>
        <w:t>are of the University’s obligations under ESOS.</w:t>
      </w:r>
    </w:p>
    <w:p w:rsidR="00F01E28" w:rsidRPr="001A1A5B" w:rsidRDefault="00967182" w:rsidP="005E13F9">
      <w:pPr>
        <w:numPr>
          <w:ilvl w:val="2"/>
          <w:numId w:val="5"/>
        </w:numPr>
        <w:rPr>
          <w:rFonts w:ascii="Arial" w:hAnsi="Arial" w:cs="Arial"/>
          <w:sz w:val="20"/>
          <w:szCs w:val="20"/>
        </w:rPr>
      </w:pPr>
      <w:r w:rsidRPr="001A1A5B">
        <w:rPr>
          <w:rFonts w:ascii="Arial" w:hAnsi="Arial" w:cs="Arial"/>
          <w:sz w:val="20"/>
          <w:szCs w:val="20"/>
          <w:lang w:val="en-US"/>
        </w:rPr>
        <w:t>The University must have a critical incidents policy, and must keep a record of critical incidents and remedial action.</w:t>
      </w:r>
    </w:p>
    <w:p w:rsidR="00F01E28" w:rsidRPr="001A1A5B" w:rsidRDefault="00967182" w:rsidP="005E13F9">
      <w:pPr>
        <w:numPr>
          <w:ilvl w:val="2"/>
          <w:numId w:val="5"/>
        </w:numPr>
        <w:rPr>
          <w:rFonts w:ascii="Arial" w:hAnsi="Arial" w:cs="Arial"/>
          <w:sz w:val="20"/>
          <w:szCs w:val="20"/>
        </w:rPr>
      </w:pPr>
      <w:r w:rsidRPr="001A1A5B">
        <w:rPr>
          <w:rFonts w:ascii="Arial" w:hAnsi="Arial" w:cs="Arial"/>
          <w:sz w:val="20"/>
          <w:szCs w:val="20"/>
          <w:lang w:val="en-US"/>
        </w:rPr>
        <w:t>The University must provide a safe environment on campus, and provide students with info</w:t>
      </w:r>
      <w:r w:rsidRPr="001A1A5B">
        <w:rPr>
          <w:rFonts w:ascii="Arial" w:hAnsi="Arial" w:cs="Arial"/>
          <w:sz w:val="20"/>
          <w:szCs w:val="20"/>
          <w:lang w:val="en-US"/>
        </w:rPr>
        <w:t>rmation concerning their personal security and safety.</w:t>
      </w: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7 – Overseas student transfers</w:t>
      </w:r>
    </w:p>
    <w:p w:rsidR="005E13F9" w:rsidRPr="001A1A5B" w:rsidRDefault="005E13F9" w:rsidP="005E13F9">
      <w:pPr>
        <w:rPr>
          <w:rFonts w:ascii="Arial" w:hAnsi="Arial" w:cs="Arial"/>
          <w:sz w:val="20"/>
          <w:szCs w:val="20"/>
        </w:rPr>
      </w:pPr>
      <w:r w:rsidRPr="001A1A5B">
        <w:rPr>
          <w:rFonts w:ascii="Arial" w:hAnsi="Arial" w:cs="Arial"/>
          <w:sz w:val="20"/>
          <w:szCs w:val="20"/>
          <w:lang w:val="en-US"/>
        </w:rPr>
        <w:t>International students cannot change registered providers within their first six months of study in their principal program unless specified conditions exist.</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w:t>
      </w:r>
    </w:p>
    <w:p w:rsidR="00F01E28" w:rsidRPr="001A1A5B" w:rsidRDefault="00967182" w:rsidP="005E13F9">
      <w:pPr>
        <w:numPr>
          <w:ilvl w:val="2"/>
          <w:numId w:val="6"/>
        </w:numPr>
        <w:rPr>
          <w:rFonts w:ascii="Arial" w:hAnsi="Arial" w:cs="Arial"/>
          <w:sz w:val="20"/>
          <w:szCs w:val="20"/>
        </w:rPr>
      </w:pPr>
      <w:r w:rsidRPr="001A1A5B">
        <w:rPr>
          <w:rFonts w:ascii="Arial" w:hAnsi="Arial" w:cs="Arial"/>
          <w:sz w:val="20"/>
          <w:szCs w:val="20"/>
          <w:lang w:val="en-US"/>
        </w:rPr>
        <w:t xml:space="preserve">Have a policy for assessing transfer requests from </w:t>
      </w:r>
      <w:proofErr w:type="spellStart"/>
      <w:r w:rsidRPr="001A1A5B">
        <w:rPr>
          <w:rFonts w:ascii="Arial" w:hAnsi="Arial" w:cs="Arial"/>
          <w:sz w:val="20"/>
          <w:szCs w:val="20"/>
          <w:lang w:val="en-US"/>
        </w:rPr>
        <w:t>UoA</w:t>
      </w:r>
      <w:proofErr w:type="spellEnd"/>
      <w:r w:rsidRPr="001A1A5B">
        <w:rPr>
          <w:rFonts w:ascii="Arial" w:hAnsi="Arial" w:cs="Arial"/>
          <w:sz w:val="20"/>
          <w:szCs w:val="20"/>
          <w:lang w:val="en-US"/>
        </w:rPr>
        <w:t xml:space="preserve"> students who wish to transfer prior to completing six months in their principal program at </w:t>
      </w:r>
      <w:proofErr w:type="spellStart"/>
      <w:r w:rsidRPr="001A1A5B">
        <w:rPr>
          <w:rFonts w:ascii="Arial" w:hAnsi="Arial" w:cs="Arial"/>
          <w:sz w:val="20"/>
          <w:szCs w:val="20"/>
          <w:lang w:val="en-US"/>
        </w:rPr>
        <w:t>UoA</w:t>
      </w:r>
      <w:proofErr w:type="spellEnd"/>
      <w:r w:rsidRPr="001A1A5B">
        <w:rPr>
          <w:rFonts w:ascii="Arial" w:hAnsi="Arial" w:cs="Arial"/>
          <w:sz w:val="20"/>
          <w:szCs w:val="20"/>
          <w:lang w:val="en-US"/>
        </w:rPr>
        <w:t>.</w:t>
      </w:r>
    </w:p>
    <w:p w:rsidR="00F01E28" w:rsidRPr="001A1A5B" w:rsidRDefault="00967182" w:rsidP="005E13F9">
      <w:pPr>
        <w:numPr>
          <w:ilvl w:val="2"/>
          <w:numId w:val="6"/>
        </w:numPr>
        <w:rPr>
          <w:rFonts w:ascii="Arial" w:hAnsi="Arial" w:cs="Arial"/>
          <w:sz w:val="20"/>
          <w:szCs w:val="20"/>
        </w:rPr>
      </w:pPr>
      <w:r w:rsidRPr="001A1A5B">
        <w:rPr>
          <w:rFonts w:ascii="Arial" w:hAnsi="Arial" w:cs="Arial"/>
          <w:sz w:val="20"/>
          <w:szCs w:val="20"/>
          <w:lang w:val="en-US"/>
        </w:rPr>
        <w:lastRenderedPageBreak/>
        <w:t>The policy must explain how to apply for a transfer, require a valid offer from the re</w:t>
      </w:r>
      <w:r w:rsidRPr="001A1A5B">
        <w:rPr>
          <w:rFonts w:ascii="Arial" w:hAnsi="Arial" w:cs="Arial"/>
          <w:sz w:val="20"/>
          <w:szCs w:val="20"/>
          <w:lang w:val="en-US"/>
        </w:rPr>
        <w:t>ceiving provider and outline the circumstances in which a transfer will be approved or refused.</w:t>
      </w:r>
    </w:p>
    <w:p w:rsidR="00F01E28" w:rsidRPr="001A1A5B" w:rsidRDefault="00967182" w:rsidP="005E13F9">
      <w:pPr>
        <w:numPr>
          <w:ilvl w:val="2"/>
          <w:numId w:val="6"/>
        </w:numPr>
        <w:rPr>
          <w:rFonts w:ascii="Arial" w:hAnsi="Arial" w:cs="Arial"/>
          <w:sz w:val="20"/>
          <w:szCs w:val="20"/>
        </w:rPr>
      </w:pPr>
      <w:r w:rsidRPr="001A1A5B">
        <w:rPr>
          <w:rFonts w:ascii="Arial" w:hAnsi="Arial" w:cs="Arial"/>
          <w:sz w:val="20"/>
          <w:szCs w:val="20"/>
          <w:lang w:val="en-US"/>
        </w:rPr>
        <w:t>Students must be advised of a transfer refusal in writing, with the refusal providing the reasons for the refusal and the student’s appeal rights.</w:t>
      </w:r>
    </w:p>
    <w:p w:rsidR="005E13F9" w:rsidRPr="001A1A5B" w:rsidRDefault="005E13F9" w:rsidP="005E13F9">
      <w:pPr>
        <w:rPr>
          <w:rFonts w:ascii="Arial" w:hAnsi="Arial" w:cs="Arial"/>
          <w:sz w:val="20"/>
          <w:szCs w:val="20"/>
        </w:rPr>
      </w:pPr>
      <w:r w:rsidRPr="001A1A5B">
        <w:rPr>
          <w:rFonts w:ascii="Arial" w:hAnsi="Arial" w:cs="Arial"/>
          <w:sz w:val="20"/>
          <w:szCs w:val="20"/>
          <w:lang w:val="en-US"/>
        </w:rPr>
        <w:t>Transfer requests are assessed by International Admissions and International Student Support.</w:t>
      </w: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8 – Overseas student visa requirements</w:t>
      </w:r>
    </w:p>
    <w:p w:rsidR="006C7CB2" w:rsidRDefault="0052337D" w:rsidP="005E13F9">
      <w:pPr>
        <w:rPr>
          <w:rFonts w:ascii="Arial" w:hAnsi="Arial" w:cs="Arial"/>
          <w:sz w:val="20"/>
          <w:szCs w:val="20"/>
          <w:lang w:val="en-US"/>
        </w:rPr>
      </w:pPr>
      <w:r>
        <w:rPr>
          <w:rFonts w:ascii="Arial" w:hAnsi="Arial" w:cs="Arial"/>
          <w:sz w:val="20"/>
          <w:szCs w:val="20"/>
          <w:lang w:val="en-US"/>
        </w:rPr>
        <w:t xml:space="preserve">The University must monitor </w:t>
      </w:r>
      <w:r w:rsidR="006C7CB2">
        <w:rPr>
          <w:rFonts w:ascii="Arial" w:hAnsi="Arial" w:cs="Arial"/>
          <w:sz w:val="20"/>
          <w:szCs w:val="20"/>
          <w:lang w:val="en-US"/>
        </w:rPr>
        <w:t xml:space="preserve">the academic progress of its international students and have documented intervention policies and processes to assist them to complete their studies within the time specified on their </w:t>
      </w:r>
      <w:proofErr w:type="spellStart"/>
      <w:r w:rsidR="006C7CB2">
        <w:rPr>
          <w:rFonts w:ascii="Arial" w:hAnsi="Arial" w:cs="Arial"/>
          <w:sz w:val="20"/>
          <w:szCs w:val="20"/>
          <w:lang w:val="en-US"/>
        </w:rPr>
        <w:t>CoE</w:t>
      </w:r>
      <w:proofErr w:type="spellEnd"/>
      <w:r w:rsidR="006C7CB2">
        <w:rPr>
          <w:rFonts w:ascii="Arial" w:hAnsi="Arial" w:cs="Arial"/>
          <w:sz w:val="20"/>
          <w:szCs w:val="20"/>
          <w:lang w:val="en-US"/>
        </w:rPr>
        <w:t>.</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can only extend a student’s enrolment if:</w:t>
      </w:r>
    </w:p>
    <w:p w:rsidR="00F01E28" w:rsidRPr="001A1A5B" w:rsidRDefault="00967182" w:rsidP="005E13F9">
      <w:pPr>
        <w:numPr>
          <w:ilvl w:val="2"/>
          <w:numId w:val="7"/>
        </w:numPr>
        <w:rPr>
          <w:rFonts w:ascii="Arial" w:hAnsi="Arial" w:cs="Arial"/>
          <w:sz w:val="20"/>
          <w:szCs w:val="20"/>
        </w:rPr>
      </w:pPr>
      <w:r w:rsidRPr="001A1A5B">
        <w:rPr>
          <w:rFonts w:ascii="Arial" w:hAnsi="Arial" w:cs="Arial"/>
          <w:sz w:val="20"/>
          <w:szCs w:val="20"/>
          <w:lang w:val="en-US"/>
        </w:rPr>
        <w:t xml:space="preserve">There are documented compassionate or compelling </w:t>
      </w:r>
      <w:r w:rsidRPr="001A1A5B">
        <w:rPr>
          <w:rFonts w:ascii="Arial" w:hAnsi="Arial" w:cs="Arial"/>
          <w:sz w:val="20"/>
          <w:szCs w:val="20"/>
          <w:lang w:val="en-US"/>
        </w:rPr>
        <w:t>circumstances;</w:t>
      </w:r>
    </w:p>
    <w:p w:rsidR="00F01E28" w:rsidRPr="001A1A5B" w:rsidRDefault="00967182" w:rsidP="005E13F9">
      <w:pPr>
        <w:numPr>
          <w:ilvl w:val="2"/>
          <w:numId w:val="7"/>
        </w:numPr>
        <w:rPr>
          <w:rFonts w:ascii="Arial" w:hAnsi="Arial" w:cs="Arial"/>
          <w:sz w:val="20"/>
          <w:szCs w:val="20"/>
        </w:rPr>
      </w:pPr>
      <w:r w:rsidRPr="001A1A5B">
        <w:rPr>
          <w:rFonts w:ascii="Arial" w:hAnsi="Arial" w:cs="Arial"/>
          <w:sz w:val="20"/>
          <w:szCs w:val="20"/>
          <w:lang w:val="en-US"/>
        </w:rPr>
        <w:t>The University has implemented an intervention strategy as the student is at risk of not meeting progression requirements;</w:t>
      </w:r>
    </w:p>
    <w:p w:rsidR="00F01E28" w:rsidRPr="001A1A5B" w:rsidRDefault="00967182" w:rsidP="005E13F9">
      <w:pPr>
        <w:numPr>
          <w:ilvl w:val="2"/>
          <w:numId w:val="7"/>
        </w:numPr>
        <w:rPr>
          <w:rFonts w:ascii="Arial" w:hAnsi="Arial" w:cs="Arial"/>
          <w:sz w:val="20"/>
          <w:szCs w:val="20"/>
        </w:rPr>
      </w:pPr>
      <w:r w:rsidRPr="001A1A5B">
        <w:rPr>
          <w:rFonts w:ascii="Arial" w:hAnsi="Arial" w:cs="Arial"/>
          <w:sz w:val="20"/>
          <w:szCs w:val="20"/>
          <w:lang w:val="en-US"/>
        </w:rPr>
        <w:t>An approved deferral or suspension has been approved under Standard 9.</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 not deliver:</w:t>
      </w:r>
    </w:p>
    <w:p w:rsidR="00F01E28" w:rsidRPr="001A1A5B" w:rsidRDefault="00967182" w:rsidP="005E13F9">
      <w:pPr>
        <w:numPr>
          <w:ilvl w:val="2"/>
          <w:numId w:val="8"/>
        </w:numPr>
        <w:rPr>
          <w:rFonts w:ascii="Arial" w:hAnsi="Arial" w:cs="Arial"/>
          <w:sz w:val="20"/>
          <w:szCs w:val="20"/>
        </w:rPr>
      </w:pPr>
      <w:r w:rsidRPr="001A1A5B">
        <w:rPr>
          <w:rFonts w:ascii="Arial" w:hAnsi="Arial" w:cs="Arial"/>
          <w:sz w:val="20"/>
          <w:szCs w:val="20"/>
          <w:lang w:val="en-US"/>
        </w:rPr>
        <w:t>A program excl</w:t>
      </w:r>
      <w:r w:rsidRPr="001A1A5B">
        <w:rPr>
          <w:rFonts w:ascii="Arial" w:hAnsi="Arial" w:cs="Arial"/>
          <w:sz w:val="20"/>
          <w:szCs w:val="20"/>
          <w:lang w:val="en-US"/>
        </w:rPr>
        <w:t>usively by online or distance learning to an overseas student;</w:t>
      </w:r>
    </w:p>
    <w:p w:rsidR="00F01E28" w:rsidRPr="001A1A5B" w:rsidRDefault="00967182" w:rsidP="005E13F9">
      <w:pPr>
        <w:numPr>
          <w:ilvl w:val="2"/>
          <w:numId w:val="8"/>
        </w:numPr>
        <w:rPr>
          <w:rFonts w:ascii="Arial" w:hAnsi="Arial" w:cs="Arial"/>
          <w:sz w:val="20"/>
          <w:szCs w:val="20"/>
        </w:rPr>
      </w:pPr>
      <w:r w:rsidRPr="001A1A5B">
        <w:rPr>
          <w:rFonts w:ascii="Arial" w:hAnsi="Arial" w:cs="Arial"/>
          <w:sz w:val="20"/>
          <w:szCs w:val="20"/>
          <w:lang w:val="en-US"/>
        </w:rPr>
        <w:t>More than one-third of a program by online or distance learning to an overseas student;</w:t>
      </w:r>
    </w:p>
    <w:p w:rsidR="005E13F9" w:rsidRDefault="005E13F9" w:rsidP="005E13F9">
      <w:pPr>
        <w:rPr>
          <w:rFonts w:ascii="Arial" w:hAnsi="Arial" w:cs="Arial"/>
          <w:sz w:val="20"/>
          <w:szCs w:val="20"/>
          <w:lang w:val="en-US"/>
        </w:rPr>
      </w:pPr>
      <w:r w:rsidRPr="001A1A5B">
        <w:rPr>
          <w:rFonts w:ascii="Arial" w:hAnsi="Arial" w:cs="Arial"/>
          <w:sz w:val="20"/>
          <w:szCs w:val="20"/>
          <w:lang w:val="en-US"/>
        </w:rPr>
        <w:t>An overseas student must study at least one face to face course in each compulsory study period unless it is their last course.</w:t>
      </w:r>
    </w:p>
    <w:p w:rsidR="006C7CB2" w:rsidRPr="001A1A5B" w:rsidRDefault="006C7CB2" w:rsidP="005E13F9">
      <w:pPr>
        <w:rPr>
          <w:rFonts w:ascii="Arial" w:hAnsi="Arial" w:cs="Arial"/>
          <w:sz w:val="20"/>
          <w:szCs w:val="20"/>
        </w:rPr>
      </w:pPr>
      <w:r>
        <w:rPr>
          <w:rFonts w:ascii="Arial" w:hAnsi="Arial" w:cs="Arial"/>
          <w:sz w:val="20"/>
          <w:szCs w:val="20"/>
        </w:rPr>
        <w:t xml:space="preserve">The ELC as an ELICOS provider is required to </w:t>
      </w:r>
      <w:r w:rsidR="00967182">
        <w:rPr>
          <w:rFonts w:ascii="Arial" w:hAnsi="Arial" w:cs="Arial"/>
          <w:sz w:val="20"/>
          <w:szCs w:val="20"/>
        </w:rPr>
        <w:t xml:space="preserve">keep and </w:t>
      </w:r>
      <w:r>
        <w:rPr>
          <w:rFonts w:ascii="Arial" w:hAnsi="Arial" w:cs="Arial"/>
          <w:sz w:val="20"/>
          <w:szCs w:val="20"/>
        </w:rPr>
        <w:t>monitor attendance records</w:t>
      </w:r>
      <w:r w:rsidR="00967182">
        <w:rPr>
          <w:rFonts w:ascii="Arial" w:hAnsi="Arial" w:cs="Arial"/>
          <w:sz w:val="20"/>
          <w:szCs w:val="20"/>
        </w:rPr>
        <w:t>.</w:t>
      </w:r>
      <w:bookmarkStart w:id="0" w:name="_GoBack"/>
      <w:bookmarkEnd w:id="0"/>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9 – Deferring, suspending or cancelling the overseas student’s enrolment</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w:t>
      </w:r>
    </w:p>
    <w:p w:rsidR="00F01E28" w:rsidRPr="001A1A5B" w:rsidRDefault="00967182" w:rsidP="005E13F9">
      <w:pPr>
        <w:numPr>
          <w:ilvl w:val="2"/>
          <w:numId w:val="9"/>
        </w:numPr>
        <w:rPr>
          <w:rFonts w:ascii="Arial" w:hAnsi="Arial" w:cs="Arial"/>
          <w:sz w:val="20"/>
          <w:szCs w:val="20"/>
        </w:rPr>
      </w:pPr>
      <w:r w:rsidRPr="001A1A5B">
        <w:rPr>
          <w:rFonts w:ascii="Arial" w:hAnsi="Arial" w:cs="Arial"/>
          <w:sz w:val="20"/>
          <w:szCs w:val="20"/>
          <w:lang w:val="en-US"/>
        </w:rPr>
        <w:t>Must have a documented process for assessing, approving and recording a deferment or suspension of study;</w:t>
      </w:r>
    </w:p>
    <w:p w:rsidR="00F01E28" w:rsidRPr="001A1A5B" w:rsidRDefault="00967182" w:rsidP="005E13F9">
      <w:pPr>
        <w:numPr>
          <w:ilvl w:val="2"/>
          <w:numId w:val="9"/>
        </w:numPr>
        <w:rPr>
          <w:rFonts w:ascii="Arial" w:hAnsi="Arial" w:cs="Arial"/>
          <w:sz w:val="20"/>
          <w:szCs w:val="20"/>
        </w:rPr>
      </w:pPr>
      <w:r w:rsidRPr="001A1A5B">
        <w:rPr>
          <w:rFonts w:ascii="Arial" w:hAnsi="Arial" w:cs="Arial"/>
          <w:sz w:val="20"/>
          <w:szCs w:val="20"/>
          <w:lang w:val="en-US"/>
        </w:rPr>
        <w:t xml:space="preserve">May defer or suspend the </w:t>
      </w:r>
      <w:r w:rsidRPr="001A1A5B">
        <w:rPr>
          <w:rFonts w:ascii="Arial" w:hAnsi="Arial" w:cs="Arial"/>
          <w:sz w:val="20"/>
          <w:szCs w:val="20"/>
          <w:lang w:val="en-US"/>
        </w:rPr>
        <w:t>enrolment of a student if there are compassionate or compelling circumstances;</w:t>
      </w:r>
    </w:p>
    <w:p w:rsidR="00F01E28" w:rsidRPr="001A1A5B" w:rsidRDefault="00967182" w:rsidP="005E13F9">
      <w:pPr>
        <w:numPr>
          <w:ilvl w:val="2"/>
          <w:numId w:val="9"/>
        </w:numPr>
        <w:rPr>
          <w:rFonts w:ascii="Arial" w:hAnsi="Arial" w:cs="Arial"/>
          <w:sz w:val="20"/>
          <w:szCs w:val="20"/>
        </w:rPr>
      </w:pPr>
      <w:r w:rsidRPr="001A1A5B">
        <w:rPr>
          <w:rFonts w:ascii="Arial" w:hAnsi="Arial" w:cs="Arial"/>
          <w:sz w:val="20"/>
          <w:szCs w:val="20"/>
          <w:lang w:val="en-US"/>
        </w:rPr>
        <w:t>May suspend or cancel a student’s enrolment if have misbehaved, made unsatisfactory progress, or failed to pay their tuition fees.</w:t>
      </w:r>
    </w:p>
    <w:p w:rsidR="005E13F9" w:rsidRPr="001A1A5B" w:rsidRDefault="005E13F9" w:rsidP="005E13F9">
      <w:pPr>
        <w:rPr>
          <w:rFonts w:ascii="Arial" w:hAnsi="Arial" w:cs="Arial"/>
          <w:sz w:val="20"/>
          <w:szCs w:val="20"/>
        </w:rPr>
      </w:pPr>
      <w:r w:rsidRPr="001A1A5B">
        <w:rPr>
          <w:rFonts w:ascii="Arial" w:hAnsi="Arial" w:cs="Arial"/>
          <w:sz w:val="20"/>
          <w:szCs w:val="20"/>
          <w:lang w:val="en-US"/>
        </w:rPr>
        <w:t>In the event that the University initiates a suspension or cancellation of enrolment the student must be issued a written notice outlining the reasons and their appeal rights. The suspension or cancellation cannot take effect until the internal appeals process is completed.</w:t>
      </w: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t>Standard 10 – Complaints and appeals</w:t>
      </w:r>
    </w:p>
    <w:p w:rsidR="005E13F9" w:rsidRPr="001A1A5B" w:rsidRDefault="005E13F9" w:rsidP="005E13F9">
      <w:pPr>
        <w:rPr>
          <w:rFonts w:ascii="Arial" w:hAnsi="Arial" w:cs="Arial"/>
          <w:sz w:val="20"/>
          <w:szCs w:val="20"/>
        </w:rPr>
      </w:pPr>
      <w:r w:rsidRPr="001A1A5B">
        <w:rPr>
          <w:rFonts w:ascii="Arial" w:hAnsi="Arial" w:cs="Arial"/>
          <w:sz w:val="20"/>
          <w:szCs w:val="20"/>
          <w:lang w:val="en-US"/>
        </w:rPr>
        <w:t xml:space="preserve">The University must have and implement a </w:t>
      </w:r>
      <w:r w:rsidR="001A1A5B" w:rsidRPr="001A1A5B">
        <w:rPr>
          <w:rFonts w:ascii="Arial" w:hAnsi="Arial" w:cs="Arial"/>
          <w:sz w:val="20"/>
          <w:szCs w:val="20"/>
          <w:lang w:val="en-US"/>
        </w:rPr>
        <w:t>documented internal complaint</w:t>
      </w:r>
      <w:r w:rsidRPr="001A1A5B">
        <w:rPr>
          <w:rFonts w:ascii="Arial" w:hAnsi="Arial" w:cs="Arial"/>
          <w:sz w:val="20"/>
          <w:szCs w:val="20"/>
          <w:lang w:val="en-US"/>
        </w:rPr>
        <w:t xml:space="preserve"> handling and appeals process and policy, and provide overseas students with comprehensive, free and easily accessible information about the process and policy.</w:t>
      </w:r>
    </w:p>
    <w:p w:rsidR="005E13F9" w:rsidRPr="001A1A5B" w:rsidRDefault="005E13F9" w:rsidP="005E13F9">
      <w:pPr>
        <w:rPr>
          <w:rFonts w:ascii="Arial" w:hAnsi="Arial" w:cs="Arial"/>
          <w:sz w:val="20"/>
          <w:szCs w:val="20"/>
        </w:rPr>
      </w:pPr>
      <w:r w:rsidRPr="001A1A5B">
        <w:rPr>
          <w:rFonts w:ascii="Arial" w:hAnsi="Arial" w:cs="Arial"/>
          <w:sz w:val="20"/>
          <w:szCs w:val="20"/>
          <w:lang w:val="en-US"/>
        </w:rPr>
        <w:t xml:space="preserve">The internal process must meet </w:t>
      </w:r>
      <w:r w:rsidR="001A1A5B">
        <w:rPr>
          <w:rFonts w:ascii="Arial" w:hAnsi="Arial" w:cs="Arial"/>
          <w:sz w:val="20"/>
          <w:szCs w:val="20"/>
          <w:lang w:val="en-US"/>
        </w:rPr>
        <w:t xml:space="preserve">the </w:t>
      </w:r>
      <w:r w:rsidRPr="001A1A5B">
        <w:rPr>
          <w:rFonts w:ascii="Arial" w:hAnsi="Arial" w:cs="Arial"/>
          <w:sz w:val="20"/>
          <w:szCs w:val="20"/>
          <w:lang w:val="en-US"/>
        </w:rPr>
        <w:t>requirements</w:t>
      </w:r>
      <w:r w:rsidR="001A1A5B">
        <w:rPr>
          <w:rFonts w:ascii="Arial" w:hAnsi="Arial" w:cs="Arial"/>
          <w:sz w:val="20"/>
          <w:szCs w:val="20"/>
          <w:lang w:val="en-US"/>
        </w:rPr>
        <w:t xml:space="preserve"> outlined in the National Code</w:t>
      </w:r>
      <w:r w:rsidRPr="001A1A5B">
        <w:rPr>
          <w:rFonts w:ascii="Arial" w:hAnsi="Arial" w:cs="Arial"/>
          <w:sz w:val="20"/>
          <w:szCs w:val="20"/>
          <w:lang w:val="en-US"/>
        </w:rPr>
        <w:t>.</w:t>
      </w:r>
    </w:p>
    <w:p w:rsidR="005E13F9" w:rsidRPr="001A1A5B" w:rsidRDefault="005E13F9" w:rsidP="005E13F9">
      <w:pPr>
        <w:rPr>
          <w:rFonts w:ascii="Arial" w:hAnsi="Arial" w:cs="Arial"/>
          <w:sz w:val="20"/>
          <w:szCs w:val="20"/>
        </w:rPr>
      </w:pPr>
      <w:r w:rsidRPr="001A1A5B">
        <w:rPr>
          <w:rFonts w:ascii="Arial" w:hAnsi="Arial" w:cs="Arial"/>
          <w:sz w:val="20"/>
          <w:szCs w:val="20"/>
          <w:lang w:val="en-US"/>
        </w:rPr>
        <w:t>If unsuccessful the University must provide the student with information about the external appeals options available to them within 10 days</w:t>
      </w:r>
      <w:r w:rsidR="001A1A5B">
        <w:rPr>
          <w:rFonts w:ascii="Arial" w:hAnsi="Arial" w:cs="Arial"/>
          <w:sz w:val="20"/>
          <w:szCs w:val="20"/>
          <w:lang w:val="en-US"/>
        </w:rPr>
        <w:t>.</w:t>
      </w:r>
    </w:p>
    <w:p w:rsidR="005E13F9" w:rsidRPr="001A1A5B" w:rsidRDefault="005E13F9" w:rsidP="005E13F9">
      <w:pPr>
        <w:rPr>
          <w:rFonts w:ascii="Arial" w:hAnsi="Arial" w:cs="Arial"/>
          <w:sz w:val="20"/>
          <w:szCs w:val="20"/>
        </w:rPr>
      </w:pPr>
      <w:r w:rsidRPr="001A1A5B">
        <w:rPr>
          <w:rFonts w:ascii="Arial" w:hAnsi="Arial" w:cs="Arial"/>
          <w:b/>
          <w:bCs/>
          <w:sz w:val="20"/>
          <w:szCs w:val="20"/>
          <w:lang w:val="en-US"/>
        </w:rPr>
        <w:lastRenderedPageBreak/>
        <w:t>Standard 11 – Additional registration requirements</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 have its fulltime programs approved by TEQSA to offer them to overseas students.</w:t>
      </w:r>
    </w:p>
    <w:p w:rsidR="005E13F9" w:rsidRPr="001A1A5B" w:rsidRDefault="005E13F9" w:rsidP="005E13F9">
      <w:pPr>
        <w:rPr>
          <w:rFonts w:ascii="Arial" w:hAnsi="Arial" w:cs="Arial"/>
          <w:sz w:val="20"/>
          <w:szCs w:val="20"/>
        </w:rPr>
      </w:pPr>
      <w:r w:rsidRPr="001A1A5B">
        <w:rPr>
          <w:rFonts w:ascii="Arial" w:hAnsi="Arial" w:cs="Arial"/>
          <w:sz w:val="20"/>
          <w:szCs w:val="20"/>
          <w:lang w:val="en-US"/>
        </w:rPr>
        <w:t>Specified information must be provided to TEQSA when seeking registration of a program.</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registered duration of the program cannot exceed the time required to complete the program on the basis of fulltime study.</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There must be appropriate arrangements for the supervision and assessment of students involved in work-based training.</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 have adequate staff and education resources, including facilities, equipment, learning and library resources and premises as are needed to deliver its programs to international students.</w:t>
      </w:r>
    </w:p>
    <w:p w:rsidR="005E13F9" w:rsidRPr="001A1A5B" w:rsidRDefault="005E13F9" w:rsidP="005E13F9">
      <w:pPr>
        <w:rPr>
          <w:rFonts w:ascii="Arial" w:hAnsi="Arial" w:cs="Arial"/>
          <w:sz w:val="20"/>
          <w:szCs w:val="20"/>
        </w:rPr>
      </w:pPr>
      <w:r w:rsidRPr="001A1A5B">
        <w:rPr>
          <w:rFonts w:ascii="Arial" w:hAnsi="Arial" w:cs="Arial"/>
          <w:sz w:val="20"/>
          <w:szCs w:val="20"/>
          <w:lang w:val="en-US"/>
        </w:rPr>
        <w:t>The University must undertake an independent external audit to enable TEQSA to assess its application for re-registration.</w:t>
      </w:r>
    </w:p>
    <w:p w:rsidR="005E13F9" w:rsidRPr="001A1A5B" w:rsidRDefault="005E13F9">
      <w:pPr>
        <w:rPr>
          <w:rFonts w:ascii="Arial" w:hAnsi="Arial" w:cs="Arial"/>
          <w:sz w:val="20"/>
          <w:szCs w:val="20"/>
        </w:rPr>
      </w:pPr>
    </w:p>
    <w:p w:rsidR="0065081C" w:rsidRPr="001A1A5B" w:rsidRDefault="0065081C">
      <w:pPr>
        <w:rPr>
          <w:rFonts w:ascii="Arial" w:hAnsi="Arial" w:cs="Arial"/>
          <w:sz w:val="20"/>
          <w:szCs w:val="20"/>
        </w:rPr>
      </w:pPr>
    </w:p>
    <w:p w:rsidR="0065081C" w:rsidRPr="001A1A5B" w:rsidRDefault="0065081C">
      <w:pPr>
        <w:rPr>
          <w:rFonts w:ascii="Arial" w:hAnsi="Arial" w:cs="Arial"/>
          <w:sz w:val="20"/>
          <w:szCs w:val="20"/>
        </w:rPr>
      </w:pPr>
    </w:p>
    <w:sectPr w:rsidR="0065081C" w:rsidRPr="001A1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1ED"/>
    <w:multiLevelType w:val="hybridMultilevel"/>
    <w:tmpl w:val="2DA80542"/>
    <w:lvl w:ilvl="0" w:tplc="FEFE0C6A">
      <w:start w:val="1"/>
      <w:numFmt w:val="bullet"/>
      <w:lvlText w:val="•"/>
      <w:lvlJc w:val="left"/>
      <w:pPr>
        <w:tabs>
          <w:tab w:val="num" w:pos="2203"/>
        </w:tabs>
        <w:ind w:left="2203" w:hanging="360"/>
      </w:pPr>
      <w:rPr>
        <w:rFonts w:ascii="Arial" w:hAnsi="Arial" w:hint="default"/>
      </w:rPr>
    </w:lvl>
    <w:lvl w:ilvl="1" w:tplc="88E08FA8" w:tentative="1">
      <w:start w:val="1"/>
      <w:numFmt w:val="bullet"/>
      <w:lvlText w:val="•"/>
      <w:lvlJc w:val="left"/>
      <w:pPr>
        <w:tabs>
          <w:tab w:val="num" w:pos="1440"/>
        </w:tabs>
        <w:ind w:left="1440" w:hanging="360"/>
      </w:pPr>
      <w:rPr>
        <w:rFonts w:ascii="Arial" w:hAnsi="Arial" w:hint="default"/>
      </w:rPr>
    </w:lvl>
    <w:lvl w:ilvl="2" w:tplc="C6B22EEC">
      <w:start w:val="1"/>
      <w:numFmt w:val="bullet"/>
      <w:lvlText w:val="•"/>
      <w:lvlJc w:val="left"/>
      <w:pPr>
        <w:tabs>
          <w:tab w:val="num" w:pos="2160"/>
        </w:tabs>
        <w:ind w:left="2160" w:hanging="360"/>
      </w:pPr>
      <w:rPr>
        <w:rFonts w:ascii="Arial" w:hAnsi="Arial" w:hint="default"/>
      </w:rPr>
    </w:lvl>
    <w:lvl w:ilvl="3" w:tplc="65027B40" w:tentative="1">
      <w:start w:val="1"/>
      <w:numFmt w:val="bullet"/>
      <w:lvlText w:val="•"/>
      <w:lvlJc w:val="left"/>
      <w:pPr>
        <w:tabs>
          <w:tab w:val="num" w:pos="2880"/>
        </w:tabs>
        <w:ind w:left="2880" w:hanging="360"/>
      </w:pPr>
      <w:rPr>
        <w:rFonts w:ascii="Arial" w:hAnsi="Arial" w:hint="default"/>
      </w:rPr>
    </w:lvl>
    <w:lvl w:ilvl="4" w:tplc="B574D822" w:tentative="1">
      <w:start w:val="1"/>
      <w:numFmt w:val="bullet"/>
      <w:lvlText w:val="•"/>
      <w:lvlJc w:val="left"/>
      <w:pPr>
        <w:tabs>
          <w:tab w:val="num" w:pos="3600"/>
        </w:tabs>
        <w:ind w:left="3600" w:hanging="360"/>
      </w:pPr>
      <w:rPr>
        <w:rFonts w:ascii="Arial" w:hAnsi="Arial" w:hint="default"/>
      </w:rPr>
    </w:lvl>
    <w:lvl w:ilvl="5" w:tplc="0FFEDD3E" w:tentative="1">
      <w:start w:val="1"/>
      <w:numFmt w:val="bullet"/>
      <w:lvlText w:val="•"/>
      <w:lvlJc w:val="left"/>
      <w:pPr>
        <w:tabs>
          <w:tab w:val="num" w:pos="4320"/>
        </w:tabs>
        <w:ind w:left="4320" w:hanging="360"/>
      </w:pPr>
      <w:rPr>
        <w:rFonts w:ascii="Arial" w:hAnsi="Arial" w:hint="default"/>
      </w:rPr>
    </w:lvl>
    <w:lvl w:ilvl="6" w:tplc="2A767E6A" w:tentative="1">
      <w:start w:val="1"/>
      <w:numFmt w:val="bullet"/>
      <w:lvlText w:val="•"/>
      <w:lvlJc w:val="left"/>
      <w:pPr>
        <w:tabs>
          <w:tab w:val="num" w:pos="5040"/>
        </w:tabs>
        <w:ind w:left="5040" w:hanging="360"/>
      </w:pPr>
      <w:rPr>
        <w:rFonts w:ascii="Arial" w:hAnsi="Arial" w:hint="default"/>
      </w:rPr>
    </w:lvl>
    <w:lvl w:ilvl="7" w:tplc="43021656" w:tentative="1">
      <w:start w:val="1"/>
      <w:numFmt w:val="bullet"/>
      <w:lvlText w:val="•"/>
      <w:lvlJc w:val="left"/>
      <w:pPr>
        <w:tabs>
          <w:tab w:val="num" w:pos="5760"/>
        </w:tabs>
        <w:ind w:left="5760" w:hanging="360"/>
      </w:pPr>
      <w:rPr>
        <w:rFonts w:ascii="Arial" w:hAnsi="Arial" w:hint="default"/>
      </w:rPr>
    </w:lvl>
    <w:lvl w:ilvl="8" w:tplc="4634B9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3579F8"/>
    <w:multiLevelType w:val="hybridMultilevel"/>
    <w:tmpl w:val="ED2C3B82"/>
    <w:lvl w:ilvl="0" w:tplc="514EAC1C">
      <w:start w:val="1"/>
      <w:numFmt w:val="bullet"/>
      <w:lvlText w:val="•"/>
      <w:lvlJc w:val="left"/>
      <w:pPr>
        <w:tabs>
          <w:tab w:val="num" w:pos="720"/>
        </w:tabs>
        <w:ind w:left="720" w:hanging="360"/>
      </w:pPr>
      <w:rPr>
        <w:rFonts w:ascii="Arial" w:hAnsi="Arial" w:hint="default"/>
      </w:rPr>
    </w:lvl>
    <w:lvl w:ilvl="1" w:tplc="5F48B6F2" w:tentative="1">
      <w:start w:val="1"/>
      <w:numFmt w:val="bullet"/>
      <w:lvlText w:val="•"/>
      <w:lvlJc w:val="left"/>
      <w:pPr>
        <w:tabs>
          <w:tab w:val="num" w:pos="1440"/>
        </w:tabs>
        <w:ind w:left="1440" w:hanging="360"/>
      </w:pPr>
      <w:rPr>
        <w:rFonts w:ascii="Arial" w:hAnsi="Arial" w:hint="default"/>
      </w:rPr>
    </w:lvl>
    <w:lvl w:ilvl="2" w:tplc="16E46E2C">
      <w:start w:val="1"/>
      <w:numFmt w:val="bullet"/>
      <w:lvlText w:val="•"/>
      <w:lvlJc w:val="left"/>
      <w:pPr>
        <w:tabs>
          <w:tab w:val="num" w:pos="2160"/>
        </w:tabs>
        <w:ind w:left="2160" w:hanging="360"/>
      </w:pPr>
      <w:rPr>
        <w:rFonts w:ascii="Arial" w:hAnsi="Arial" w:hint="default"/>
      </w:rPr>
    </w:lvl>
    <w:lvl w:ilvl="3" w:tplc="05C220C4" w:tentative="1">
      <w:start w:val="1"/>
      <w:numFmt w:val="bullet"/>
      <w:lvlText w:val="•"/>
      <w:lvlJc w:val="left"/>
      <w:pPr>
        <w:tabs>
          <w:tab w:val="num" w:pos="2880"/>
        </w:tabs>
        <w:ind w:left="2880" w:hanging="360"/>
      </w:pPr>
      <w:rPr>
        <w:rFonts w:ascii="Arial" w:hAnsi="Arial" w:hint="default"/>
      </w:rPr>
    </w:lvl>
    <w:lvl w:ilvl="4" w:tplc="474C84BA" w:tentative="1">
      <w:start w:val="1"/>
      <w:numFmt w:val="bullet"/>
      <w:lvlText w:val="•"/>
      <w:lvlJc w:val="left"/>
      <w:pPr>
        <w:tabs>
          <w:tab w:val="num" w:pos="3600"/>
        </w:tabs>
        <w:ind w:left="3600" w:hanging="360"/>
      </w:pPr>
      <w:rPr>
        <w:rFonts w:ascii="Arial" w:hAnsi="Arial" w:hint="default"/>
      </w:rPr>
    </w:lvl>
    <w:lvl w:ilvl="5" w:tplc="6ABC21D0" w:tentative="1">
      <w:start w:val="1"/>
      <w:numFmt w:val="bullet"/>
      <w:lvlText w:val="•"/>
      <w:lvlJc w:val="left"/>
      <w:pPr>
        <w:tabs>
          <w:tab w:val="num" w:pos="4320"/>
        </w:tabs>
        <w:ind w:left="4320" w:hanging="360"/>
      </w:pPr>
      <w:rPr>
        <w:rFonts w:ascii="Arial" w:hAnsi="Arial" w:hint="default"/>
      </w:rPr>
    </w:lvl>
    <w:lvl w:ilvl="6" w:tplc="8BF6CF6C" w:tentative="1">
      <w:start w:val="1"/>
      <w:numFmt w:val="bullet"/>
      <w:lvlText w:val="•"/>
      <w:lvlJc w:val="left"/>
      <w:pPr>
        <w:tabs>
          <w:tab w:val="num" w:pos="5040"/>
        </w:tabs>
        <w:ind w:left="5040" w:hanging="360"/>
      </w:pPr>
      <w:rPr>
        <w:rFonts w:ascii="Arial" w:hAnsi="Arial" w:hint="default"/>
      </w:rPr>
    </w:lvl>
    <w:lvl w:ilvl="7" w:tplc="221A8C6C" w:tentative="1">
      <w:start w:val="1"/>
      <w:numFmt w:val="bullet"/>
      <w:lvlText w:val="•"/>
      <w:lvlJc w:val="left"/>
      <w:pPr>
        <w:tabs>
          <w:tab w:val="num" w:pos="5760"/>
        </w:tabs>
        <w:ind w:left="5760" w:hanging="360"/>
      </w:pPr>
      <w:rPr>
        <w:rFonts w:ascii="Arial" w:hAnsi="Arial" w:hint="default"/>
      </w:rPr>
    </w:lvl>
    <w:lvl w:ilvl="8" w:tplc="B614A1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3F0E37"/>
    <w:multiLevelType w:val="hybridMultilevel"/>
    <w:tmpl w:val="0D7CA7E8"/>
    <w:lvl w:ilvl="0" w:tplc="E034E9DA">
      <w:start w:val="1"/>
      <w:numFmt w:val="bullet"/>
      <w:lvlText w:val="•"/>
      <w:lvlJc w:val="left"/>
      <w:pPr>
        <w:tabs>
          <w:tab w:val="num" w:pos="720"/>
        </w:tabs>
        <w:ind w:left="720" w:hanging="360"/>
      </w:pPr>
      <w:rPr>
        <w:rFonts w:ascii="Arial" w:hAnsi="Arial" w:hint="default"/>
      </w:rPr>
    </w:lvl>
    <w:lvl w:ilvl="1" w:tplc="D430B844" w:tentative="1">
      <w:start w:val="1"/>
      <w:numFmt w:val="bullet"/>
      <w:lvlText w:val="•"/>
      <w:lvlJc w:val="left"/>
      <w:pPr>
        <w:tabs>
          <w:tab w:val="num" w:pos="1440"/>
        </w:tabs>
        <w:ind w:left="1440" w:hanging="360"/>
      </w:pPr>
      <w:rPr>
        <w:rFonts w:ascii="Arial" w:hAnsi="Arial" w:hint="default"/>
      </w:rPr>
    </w:lvl>
    <w:lvl w:ilvl="2" w:tplc="C246862A">
      <w:start w:val="1"/>
      <w:numFmt w:val="bullet"/>
      <w:lvlText w:val="•"/>
      <w:lvlJc w:val="left"/>
      <w:pPr>
        <w:tabs>
          <w:tab w:val="num" w:pos="2160"/>
        </w:tabs>
        <w:ind w:left="2160" w:hanging="360"/>
      </w:pPr>
      <w:rPr>
        <w:rFonts w:ascii="Arial" w:hAnsi="Arial" w:hint="default"/>
      </w:rPr>
    </w:lvl>
    <w:lvl w:ilvl="3" w:tplc="64A816CC" w:tentative="1">
      <w:start w:val="1"/>
      <w:numFmt w:val="bullet"/>
      <w:lvlText w:val="•"/>
      <w:lvlJc w:val="left"/>
      <w:pPr>
        <w:tabs>
          <w:tab w:val="num" w:pos="2880"/>
        </w:tabs>
        <w:ind w:left="2880" w:hanging="360"/>
      </w:pPr>
      <w:rPr>
        <w:rFonts w:ascii="Arial" w:hAnsi="Arial" w:hint="default"/>
      </w:rPr>
    </w:lvl>
    <w:lvl w:ilvl="4" w:tplc="F3E8C956" w:tentative="1">
      <w:start w:val="1"/>
      <w:numFmt w:val="bullet"/>
      <w:lvlText w:val="•"/>
      <w:lvlJc w:val="left"/>
      <w:pPr>
        <w:tabs>
          <w:tab w:val="num" w:pos="3600"/>
        </w:tabs>
        <w:ind w:left="3600" w:hanging="360"/>
      </w:pPr>
      <w:rPr>
        <w:rFonts w:ascii="Arial" w:hAnsi="Arial" w:hint="default"/>
      </w:rPr>
    </w:lvl>
    <w:lvl w:ilvl="5" w:tplc="5E3CB286" w:tentative="1">
      <w:start w:val="1"/>
      <w:numFmt w:val="bullet"/>
      <w:lvlText w:val="•"/>
      <w:lvlJc w:val="left"/>
      <w:pPr>
        <w:tabs>
          <w:tab w:val="num" w:pos="4320"/>
        </w:tabs>
        <w:ind w:left="4320" w:hanging="360"/>
      </w:pPr>
      <w:rPr>
        <w:rFonts w:ascii="Arial" w:hAnsi="Arial" w:hint="default"/>
      </w:rPr>
    </w:lvl>
    <w:lvl w:ilvl="6" w:tplc="759EA972" w:tentative="1">
      <w:start w:val="1"/>
      <w:numFmt w:val="bullet"/>
      <w:lvlText w:val="•"/>
      <w:lvlJc w:val="left"/>
      <w:pPr>
        <w:tabs>
          <w:tab w:val="num" w:pos="5040"/>
        </w:tabs>
        <w:ind w:left="5040" w:hanging="360"/>
      </w:pPr>
      <w:rPr>
        <w:rFonts w:ascii="Arial" w:hAnsi="Arial" w:hint="default"/>
      </w:rPr>
    </w:lvl>
    <w:lvl w:ilvl="7" w:tplc="E426157C" w:tentative="1">
      <w:start w:val="1"/>
      <w:numFmt w:val="bullet"/>
      <w:lvlText w:val="•"/>
      <w:lvlJc w:val="left"/>
      <w:pPr>
        <w:tabs>
          <w:tab w:val="num" w:pos="5760"/>
        </w:tabs>
        <w:ind w:left="5760" w:hanging="360"/>
      </w:pPr>
      <w:rPr>
        <w:rFonts w:ascii="Arial" w:hAnsi="Arial" w:hint="default"/>
      </w:rPr>
    </w:lvl>
    <w:lvl w:ilvl="8" w:tplc="7EEA71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0A2A94"/>
    <w:multiLevelType w:val="hybridMultilevel"/>
    <w:tmpl w:val="66DEC53E"/>
    <w:lvl w:ilvl="0" w:tplc="8C9259F6">
      <w:start w:val="1"/>
      <w:numFmt w:val="bullet"/>
      <w:lvlText w:val="•"/>
      <w:lvlJc w:val="left"/>
      <w:pPr>
        <w:tabs>
          <w:tab w:val="num" w:pos="720"/>
        </w:tabs>
        <w:ind w:left="720" w:hanging="360"/>
      </w:pPr>
      <w:rPr>
        <w:rFonts w:ascii="Arial" w:hAnsi="Arial" w:hint="default"/>
      </w:rPr>
    </w:lvl>
    <w:lvl w:ilvl="1" w:tplc="CD14069A" w:tentative="1">
      <w:start w:val="1"/>
      <w:numFmt w:val="bullet"/>
      <w:lvlText w:val="•"/>
      <w:lvlJc w:val="left"/>
      <w:pPr>
        <w:tabs>
          <w:tab w:val="num" w:pos="1440"/>
        </w:tabs>
        <w:ind w:left="1440" w:hanging="360"/>
      </w:pPr>
      <w:rPr>
        <w:rFonts w:ascii="Arial" w:hAnsi="Arial" w:hint="default"/>
      </w:rPr>
    </w:lvl>
    <w:lvl w:ilvl="2" w:tplc="C58C036C">
      <w:start w:val="1"/>
      <w:numFmt w:val="bullet"/>
      <w:lvlText w:val="•"/>
      <w:lvlJc w:val="left"/>
      <w:pPr>
        <w:tabs>
          <w:tab w:val="num" w:pos="2160"/>
        </w:tabs>
        <w:ind w:left="2160" w:hanging="360"/>
      </w:pPr>
      <w:rPr>
        <w:rFonts w:ascii="Arial" w:hAnsi="Arial" w:hint="default"/>
      </w:rPr>
    </w:lvl>
    <w:lvl w:ilvl="3" w:tplc="B726CD86" w:tentative="1">
      <w:start w:val="1"/>
      <w:numFmt w:val="bullet"/>
      <w:lvlText w:val="•"/>
      <w:lvlJc w:val="left"/>
      <w:pPr>
        <w:tabs>
          <w:tab w:val="num" w:pos="2880"/>
        </w:tabs>
        <w:ind w:left="2880" w:hanging="360"/>
      </w:pPr>
      <w:rPr>
        <w:rFonts w:ascii="Arial" w:hAnsi="Arial" w:hint="default"/>
      </w:rPr>
    </w:lvl>
    <w:lvl w:ilvl="4" w:tplc="4D9CD832" w:tentative="1">
      <w:start w:val="1"/>
      <w:numFmt w:val="bullet"/>
      <w:lvlText w:val="•"/>
      <w:lvlJc w:val="left"/>
      <w:pPr>
        <w:tabs>
          <w:tab w:val="num" w:pos="3600"/>
        </w:tabs>
        <w:ind w:left="3600" w:hanging="360"/>
      </w:pPr>
      <w:rPr>
        <w:rFonts w:ascii="Arial" w:hAnsi="Arial" w:hint="default"/>
      </w:rPr>
    </w:lvl>
    <w:lvl w:ilvl="5" w:tplc="8A2EA81A" w:tentative="1">
      <w:start w:val="1"/>
      <w:numFmt w:val="bullet"/>
      <w:lvlText w:val="•"/>
      <w:lvlJc w:val="left"/>
      <w:pPr>
        <w:tabs>
          <w:tab w:val="num" w:pos="4320"/>
        </w:tabs>
        <w:ind w:left="4320" w:hanging="360"/>
      </w:pPr>
      <w:rPr>
        <w:rFonts w:ascii="Arial" w:hAnsi="Arial" w:hint="default"/>
      </w:rPr>
    </w:lvl>
    <w:lvl w:ilvl="6" w:tplc="71043E7A" w:tentative="1">
      <w:start w:val="1"/>
      <w:numFmt w:val="bullet"/>
      <w:lvlText w:val="•"/>
      <w:lvlJc w:val="left"/>
      <w:pPr>
        <w:tabs>
          <w:tab w:val="num" w:pos="5040"/>
        </w:tabs>
        <w:ind w:left="5040" w:hanging="360"/>
      </w:pPr>
      <w:rPr>
        <w:rFonts w:ascii="Arial" w:hAnsi="Arial" w:hint="default"/>
      </w:rPr>
    </w:lvl>
    <w:lvl w:ilvl="7" w:tplc="2FCE3C02" w:tentative="1">
      <w:start w:val="1"/>
      <w:numFmt w:val="bullet"/>
      <w:lvlText w:val="•"/>
      <w:lvlJc w:val="left"/>
      <w:pPr>
        <w:tabs>
          <w:tab w:val="num" w:pos="5760"/>
        </w:tabs>
        <w:ind w:left="5760" w:hanging="360"/>
      </w:pPr>
      <w:rPr>
        <w:rFonts w:ascii="Arial" w:hAnsi="Arial" w:hint="default"/>
      </w:rPr>
    </w:lvl>
    <w:lvl w:ilvl="8" w:tplc="7BA83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8413EE"/>
    <w:multiLevelType w:val="hybridMultilevel"/>
    <w:tmpl w:val="832EF236"/>
    <w:lvl w:ilvl="0" w:tplc="B008CE24">
      <w:start w:val="1"/>
      <w:numFmt w:val="bullet"/>
      <w:lvlText w:val="•"/>
      <w:lvlJc w:val="left"/>
      <w:pPr>
        <w:tabs>
          <w:tab w:val="num" w:pos="720"/>
        </w:tabs>
        <w:ind w:left="720" w:hanging="360"/>
      </w:pPr>
      <w:rPr>
        <w:rFonts w:ascii="Arial" w:hAnsi="Arial" w:hint="default"/>
      </w:rPr>
    </w:lvl>
    <w:lvl w:ilvl="1" w:tplc="D308619E" w:tentative="1">
      <w:start w:val="1"/>
      <w:numFmt w:val="bullet"/>
      <w:lvlText w:val="•"/>
      <w:lvlJc w:val="left"/>
      <w:pPr>
        <w:tabs>
          <w:tab w:val="num" w:pos="1440"/>
        </w:tabs>
        <w:ind w:left="1440" w:hanging="360"/>
      </w:pPr>
      <w:rPr>
        <w:rFonts w:ascii="Arial" w:hAnsi="Arial" w:hint="default"/>
      </w:rPr>
    </w:lvl>
    <w:lvl w:ilvl="2" w:tplc="5EB0F306">
      <w:start w:val="1"/>
      <w:numFmt w:val="bullet"/>
      <w:lvlText w:val="•"/>
      <w:lvlJc w:val="left"/>
      <w:pPr>
        <w:tabs>
          <w:tab w:val="num" w:pos="2160"/>
        </w:tabs>
        <w:ind w:left="2160" w:hanging="360"/>
      </w:pPr>
      <w:rPr>
        <w:rFonts w:ascii="Arial" w:hAnsi="Arial" w:hint="default"/>
      </w:rPr>
    </w:lvl>
    <w:lvl w:ilvl="3" w:tplc="C92A0DD4" w:tentative="1">
      <w:start w:val="1"/>
      <w:numFmt w:val="bullet"/>
      <w:lvlText w:val="•"/>
      <w:lvlJc w:val="left"/>
      <w:pPr>
        <w:tabs>
          <w:tab w:val="num" w:pos="2880"/>
        </w:tabs>
        <w:ind w:left="2880" w:hanging="360"/>
      </w:pPr>
      <w:rPr>
        <w:rFonts w:ascii="Arial" w:hAnsi="Arial" w:hint="default"/>
      </w:rPr>
    </w:lvl>
    <w:lvl w:ilvl="4" w:tplc="D966C866" w:tentative="1">
      <w:start w:val="1"/>
      <w:numFmt w:val="bullet"/>
      <w:lvlText w:val="•"/>
      <w:lvlJc w:val="left"/>
      <w:pPr>
        <w:tabs>
          <w:tab w:val="num" w:pos="3600"/>
        </w:tabs>
        <w:ind w:left="3600" w:hanging="360"/>
      </w:pPr>
      <w:rPr>
        <w:rFonts w:ascii="Arial" w:hAnsi="Arial" w:hint="default"/>
      </w:rPr>
    </w:lvl>
    <w:lvl w:ilvl="5" w:tplc="A784ED6C" w:tentative="1">
      <w:start w:val="1"/>
      <w:numFmt w:val="bullet"/>
      <w:lvlText w:val="•"/>
      <w:lvlJc w:val="left"/>
      <w:pPr>
        <w:tabs>
          <w:tab w:val="num" w:pos="4320"/>
        </w:tabs>
        <w:ind w:left="4320" w:hanging="360"/>
      </w:pPr>
      <w:rPr>
        <w:rFonts w:ascii="Arial" w:hAnsi="Arial" w:hint="default"/>
      </w:rPr>
    </w:lvl>
    <w:lvl w:ilvl="6" w:tplc="026C5F1E" w:tentative="1">
      <w:start w:val="1"/>
      <w:numFmt w:val="bullet"/>
      <w:lvlText w:val="•"/>
      <w:lvlJc w:val="left"/>
      <w:pPr>
        <w:tabs>
          <w:tab w:val="num" w:pos="5040"/>
        </w:tabs>
        <w:ind w:left="5040" w:hanging="360"/>
      </w:pPr>
      <w:rPr>
        <w:rFonts w:ascii="Arial" w:hAnsi="Arial" w:hint="default"/>
      </w:rPr>
    </w:lvl>
    <w:lvl w:ilvl="7" w:tplc="99D893E4" w:tentative="1">
      <w:start w:val="1"/>
      <w:numFmt w:val="bullet"/>
      <w:lvlText w:val="•"/>
      <w:lvlJc w:val="left"/>
      <w:pPr>
        <w:tabs>
          <w:tab w:val="num" w:pos="5760"/>
        </w:tabs>
        <w:ind w:left="5760" w:hanging="360"/>
      </w:pPr>
      <w:rPr>
        <w:rFonts w:ascii="Arial" w:hAnsi="Arial" w:hint="default"/>
      </w:rPr>
    </w:lvl>
    <w:lvl w:ilvl="8" w:tplc="3CF876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6F0A1B"/>
    <w:multiLevelType w:val="hybridMultilevel"/>
    <w:tmpl w:val="CF6CFC1A"/>
    <w:lvl w:ilvl="0" w:tplc="2A8A52CC">
      <w:start w:val="1"/>
      <w:numFmt w:val="bullet"/>
      <w:lvlText w:val="•"/>
      <w:lvlJc w:val="left"/>
      <w:pPr>
        <w:tabs>
          <w:tab w:val="num" w:pos="720"/>
        </w:tabs>
        <w:ind w:left="720" w:hanging="360"/>
      </w:pPr>
      <w:rPr>
        <w:rFonts w:ascii="Arial" w:hAnsi="Arial" w:hint="default"/>
      </w:rPr>
    </w:lvl>
    <w:lvl w:ilvl="1" w:tplc="D332D3FC" w:tentative="1">
      <w:start w:val="1"/>
      <w:numFmt w:val="bullet"/>
      <w:lvlText w:val="•"/>
      <w:lvlJc w:val="left"/>
      <w:pPr>
        <w:tabs>
          <w:tab w:val="num" w:pos="1440"/>
        </w:tabs>
        <w:ind w:left="1440" w:hanging="360"/>
      </w:pPr>
      <w:rPr>
        <w:rFonts w:ascii="Arial" w:hAnsi="Arial" w:hint="default"/>
      </w:rPr>
    </w:lvl>
    <w:lvl w:ilvl="2" w:tplc="FC2CDE5C">
      <w:start w:val="1"/>
      <w:numFmt w:val="bullet"/>
      <w:lvlText w:val="•"/>
      <w:lvlJc w:val="left"/>
      <w:pPr>
        <w:tabs>
          <w:tab w:val="num" w:pos="2160"/>
        </w:tabs>
        <w:ind w:left="2160" w:hanging="360"/>
      </w:pPr>
      <w:rPr>
        <w:rFonts w:ascii="Arial" w:hAnsi="Arial" w:hint="default"/>
      </w:rPr>
    </w:lvl>
    <w:lvl w:ilvl="3" w:tplc="16D8A4C4" w:tentative="1">
      <w:start w:val="1"/>
      <w:numFmt w:val="bullet"/>
      <w:lvlText w:val="•"/>
      <w:lvlJc w:val="left"/>
      <w:pPr>
        <w:tabs>
          <w:tab w:val="num" w:pos="2880"/>
        </w:tabs>
        <w:ind w:left="2880" w:hanging="360"/>
      </w:pPr>
      <w:rPr>
        <w:rFonts w:ascii="Arial" w:hAnsi="Arial" w:hint="default"/>
      </w:rPr>
    </w:lvl>
    <w:lvl w:ilvl="4" w:tplc="80E41E42" w:tentative="1">
      <w:start w:val="1"/>
      <w:numFmt w:val="bullet"/>
      <w:lvlText w:val="•"/>
      <w:lvlJc w:val="left"/>
      <w:pPr>
        <w:tabs>
          <w:tab w:val="num" w:pos="3600"/>
        </w:tabs>
        <w:ind w:left="3600" w:hanging="360"/>
      </w:pPr>
      <w:rPr>
        <w:rFonts w:ascii="Arial" w:hAnsi="Arial" w:hint="default"/>
      </w:rPr>
    </w:lvl>
    <w:lvl w:ilvl="5" w:tplc="37AC480E" w:tentative="1">
      <w:start w:val="1"/>
      <w:numFmt w:val="bullet"/>
      <w:lvlText w:val="•"/>
      <w:lvlJc w:val="left"/>
      <w:pPr>
        <w:tabs>
          <w:tab w:val="num" w:pos="4320"/>
        </w:tabs>
        <w:ind w:left="4320" w:hanging="360"/>
      </w:pPr>
      <w:rPr>
        <w:rFonts w:ascii="Arial" w:hAnsi="Arial" w:hint="default"/>
      </w:rPr>
    </w:lvl>
    <w:lvl w:ilvl="6" w:tplc="C3820676" w:tentative="1">
      <w:start w:val="1"/>
      <w:numFmt w:val="bullet"/>
      <w:lvlText w:val="•"/>
      <w:lvlJc w:val="left"/>
      <w:pPr>
        <w:tabs>
          <w:tab w:val="num" w:pos="5040"/>
        </w:tabs>
        <w:ind w:left="5040" w:hanging="360"/>
      </w:pPr>
      <w:rPr>
        <w:rFonts w:ascii="Arial" w:hAnsi="Arial" w:hint="default"/>
      </w:rPr>
    </w:lvl>
    <w:lvl w:ilvl="7" w:tplc="450070C0" w:tentative="1">
      <w:start w:val="1"/>
      <w:numFmt w:val="bullet"/>
      <w:lvlText w:val="•"/>
      <w:lvlJc w:val="left"/>
      <w:pPr>
        <w:tabs>
          <w:tab w:val="num" w:pos="5760"/>
        </w:tabs>
        <w:ind w:left="5760" w:hanging="360"/>
      </w:pPr>
      <w:rPr>
        <w:rFonts w:ascii="Arial" w:hAnsi="Arial" w:hint="default"/>
      </w:rPr>
    </w:lvl>
    <w:lvl w:ilvl="8" w:tplc="0DD02B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CD7CE4"/>
    <w:multiLevelType w:val="hybridMultilevel"/>
    <w:tmpl w:val="C6B0CC5C"/>
    <w:lvl w:ilvl="0" w:tplc="C226D426">
      <w:start w:val="1"/>
      <w:numFmt w:val="bullet"/>
      <w:lvlText w:val="•"/>
      <w:lvlJc w:val="left"/>
      <w:pPr>
        <w:tabs>
          <w:tab w:val="num" w:pos="720"/>
        </w:tabs>
        <w:ind w:left="720" w:hanging="360"/>
      </w:pPr>
      <w:rPr>
        <w:rFonts w:ascii="Arial" w:hAnsi="Arial" w:hint="default"/>
      </w:rPr>
    </w:lvl>
    <w:lvl w:ilvl="1" w:tplc="6DBE7ECA" w:tentative="1">
      <w:start w:val="1"/>
      <w:numFmt w:val="bullet"/>
      <w:lvlText w:val="•"/>
      <w:lvlJc w:val="left"/>
      <w:pPr>
        <w:tabs>
          <w:tab w:val="num" w:pos="1440"/>
        </w:tabs>
        <w:ind w:left="1440" w:hanging="360"/>
      </w:pPr>
      <w:rPr>
        <w:rFonts w:ascii="Arial" w:hAnsi="Arial" w:hint="default"/>
      </w:rPr>
    </w:lvl>
    <w:lvl w:ilvl="2" w:tplc="89BED008">
      <w:start w:val="1"/>
      <w:numFmt w:val="bullet"/>
      <w:lvlText w:val="•"/>
      <w:lvlJc w:val="left"/>
      <w:pPr>
        <w:tabs>
          <w:tab w:val="num" w:pos="2160"/>
        </w:tabs>
        <w:ind w:left="2160" w:hanging="360"/>
      </w:pPr>
      <w:rPr>
        <w:rFonts w:ascii="Arial" w:hAnsi="Arial" w:hint="default"/>
      </w:rPr>
    </w:lvl>
    <w:lvl w:ilvl="3" w:tplc="677217EA">
      <w:start w:val="35"/>
      <w:numFmt w:val="bullet"/>
      <w:lvlText w:val="•"/>
      <w:lvlJc w:val="left"/>
      <w:pPr>
        <w:tabs>
          <w:tab w:val="num" w:pos="2880"/>
        </w:tabs>
        <w:ind w:left="2880" w:hanging="360"/>
      </w:pPr>
      <w:rPr>
        <w:rFonts w:ascii="Arial" w:hAnsi="Arial" w:hint="default"/>
      </w:rPr>
    </w:lvl>
    <w:lvl w:ilvl="4" w:tplc="ABDA461C" w:tentative="1">
      <w:start w:val="1"/>
      <w:numFmt w:val="bullet"/>
      <w:lvlText w:val="•"/>
      <w:lvlJc w:val="left"/>
      <w:pPr>
        <w:tabs>
          <w:tab w:val="num" w:pos="3600"/>
        </w:tabs>
        <w:ind w:left="3600" w:hanging="360"/>
      </w:pPr>
      <w:rPr>
        <w:rFonts w:ascii="Arial" w:hAnsi="Arial" w:hint="default"/>
      </w:rPr>
    </w:lvl>
    <w:lvl w:ilvl="5" w:tplc="1792B72A" w:tentative="1">
      <w:start w:val="1"/>
      <w:numFmt w:val="bullet"/>
      <w:lvlText w:val="•"/>
      <w:lvlJc w:val="left"/>
      <w:pPr>
        <w:tabs>
          <w:tab w:val="num" w:pos="4320"/>
        </w:tabs>
        <w:ind w:left="4320" w:hanging="360"/>
      </w:pPr>
      <w:rPr>
        <w:rFonts w:ascii="Arial" w:hAnsi="Arial" w:hint="default"/>
      </w:rPr>
    </w:lvl>
    <w:lvl w:ilvl="6" w:tplc="4E28B8FA" w:tentative="1">
      <w:start w:val="1"/>
      <w:numFmt w:val="bullet"/>
      <w:lvlText w:val="•"/>
      <w:lvlJc w:val="left"/>
      <w:pPr>
        <w:tabs>
          <w:tab w:val="num" w:pos="5040"/>
        </w:tabs>
        <w:ind w:left="5040" w:hanging="360"/>
      </w:pPr>
      <w:rPr>
        <w:rFonts w:ascii="Arial" w:hAnsi="Arial" w:hint="default"/>
      </w:rPr>
    </w:lvl>
    <w:lvl w:ilvl="7" w:tplc="D380579E" w:tentative="1">
      <w:start w:val="1"/>
      <w:numFmt w:val="bullet"/>
      <w:lvlText w:val="•"/>
      <w:lvlJc w:val="left"/>
      <w:pPr>
        <w:tabs>
          <w:tab w:val="num" w:pos="5760"/>
        </w:tabs>
        <w:ind w:left="5760" w:hanging="360"/>
      </w:pPr>
      <w:rPr>
        <w:rFonts w:ascii="Arial" w:hAnsi="Arial" w:hint="default"/>
      </w:rPr>
    </w:lvl>
    <w:lvl w:ilvl="8" w:tplc="DBDAC3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1C49E7"/>
    <w:multiLevelType w:val="hybridMultilevel"/>
    <w:tmpl w:val="B978CDC6"/>
    <w:lvl w:ilvl="0" w:tplc="9C9CB456">
      <w:start w:val="1"/>
      <w:numFmt w:val="bullet"/>
      <w:lvlText w:val="•"/>
      <w:lvlJc w:val="left"/>
      <w:pPr>
        <w:tabs>
          <w:tab w:val="num" w:pos="720"/>
        </w:tabs>
        <w:ind w:left="720" w:hanging="360"/>
      </w:pPr>
      <w:rPr>
        <w:rFonts w:ascii="Arial" w:hAnsi="Arial" w:hint="default"/>
      </w:rPr>
    </w:lvl>
    <w:lvl w:ilvl="1" w:tplc="E1563024" w:tentative="1">
      <w:start w:val="1"/>
      <w:numFmt w:val="bullet"/>
      <w:lvlText w:val="•"/>
      <w:lvlJc w:val="left"/>
      <w:pPr>
        <w:tabs>
          <w:tab w:val="num" w:pos="1440"/>
        </w:tabs>
        <w:ind w:left="1440" w:hanging="360"/>
      </w:pPr>
      <w:rPr>
        <w:rFonts w:ascii="Arial" w:hAnsi="Arial" w:hint="default"/>
      </w:rPr>
    </w:lvl>
    <w:lvl w:ilvl="2" w:tplc="379490B0">
      <w:start w:val="1"/>
      <w:numFmt w:val="bullet"/>
      <w:lvlText w:val="•"/>
      <w:lvlJc w:val="left"/>
      <w:pPr>
        <w:tabs>
          <w:tab w:val="num" w:pos="2160"/>
        </w:tabs>
        <w:ind w:left="2160" w:hanging="360"/>
      </w:pPr>
      <w:rPr>
        <w:rFonts w:ascii="Arial" w:hAnsi="Arial" w:hint="default"/>
      </w:rPr>
    </w:lvl>
    <w:lvl w:ilvl="3" w:tplc="3F1469E4" w:tentative="1">
      <w:start w:val="1"/>
      <w:numFmt w:val="bullet"/>
      <w:lvlText w:val="•"/>
      <w:lvlJc w:val="left"/>
      <w:pPr>
        <w:tabs>
          <w:tab w:val="num" w:pos="2880"/>
        </w:tabs>
        <w:ind w:left="2880" w:hanging="360"/>
      </w:pPr>
      <w:rPr>
        <w:rFonts w:ascii="Arial" w:hAnsi="Arial" w:hint="default"/>
      </w:rPr>
    </w:lvl>
    <w:lvl w:ilvl="4" w:tplc="C7EC3E20" w:tentative="1">
      <w:start w:val="1"/>
      <w:numFmt w:val="bullet"/>
      <w:lvlText w:val="•"/>
      <w:lvlJc w:val="left"/>
      <w:pPr>
        <w:tabs>
          <w:tab w:val="num" w:pos="3600"/>
        </w:tabs>
        <w:ind w:left="3600" w:hanging="360"/>
      </w:pPr>
      <w:rPr>
        <w:rFonts w:ascii="Arial" w:hAnsi="Arial" w:hint="default"/>
      </w:rPr>
    </w:lvl>
    <w:lvl w:ilvl="5" w:tplc="D36C84C8" w:tentative="1">
      <w:start w:val="1"/>
      <w:numFmt w:val="bullet"/>
      <w:lvlText w:val="•"/>
      <w:lvlJc w:val="left"/>
      <w:pPr>
        <w:tabs>
          <w:tab w:val="num" w:pos="4320"/>
        </w:tabs>
        <w:ind w:left="4320" w:hanging="360"/>
      </w:pPr>
      <w:rPr>
        <w:rFonts w:ascii="Arial" w:hAnsi="Arial" w:hint="default"/>
      </w:rPr>
    </w:lvl>
    <w:lvl w:ilvl="6" w:tplc="94A8611E" w:tentative="1">
      <w:start w:val="1"/>
      <w:numFmt w:val="bullet"/>
      <w:lvlText w:val="•"/>
      <w:lvlJc w:val="left"/>
      <w:pPr>
        <w:tabs>
          <w:tab w:val="num" w:pos="5040"/>
        </w:tabs>
        <w:ind w:left="5040" w:hanging="360"/>
      </w:pPr>
      <w:rPr>
        <w:rFonts w:ascii="Arial" w:hAnsi="Arial" w:hint="default"/>
      </w:rPr>
    </w:lvl>
    <w:lvl w:ilvl="7" w:tplc="1A1AB3C8" w:tentative="1">
      <w:start w:val="1"/>
      <w:numFmt w:val="bullet"/>
      <w:lvlText w:val="•"/>
      <w:lvlJc w:val="left"/>
      <w:pPr>
        <w:tabs>
          <w:tab w:val="num" w:pos="5760"/>
        </w:tabs>
        <w:ind w:left="5760" w:hanging="360"/>
      </w:pPr>
      <w:rPr>
        <w:rFonts w:ascii="Arial" w:hAnsi="Arial" w:hint="default"/>
      </w:rPr>
    </w:lvl>
    <w:lvl w:ilvl="8" w:tplc="A66E47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5676BD"/>
    <w:multiLevelType w:val="hybridMultilevel"/>
    <w:tmpl w:val="E6B09ADC"/>
    <w:lvl w:ilvl="0" w:tplc="92740BD2">
      <w:start w:val="1"/>
      <w:numFmt w:val="bullet"/>
      <w:lvlText w:val="•"/>
      <w:lvlJc w:val="left"/>
      <w:pPr>
        <w:tabs>
          <w:tab w:val="num" w:pos="720"/>
        </w:tabs>
        <w:ind w:left="720" w:hanging="360"/>
      </w:pPr>
      <w:rPr>
        <w:rFonts w:ascii="Arial" w:hAnsi="Arial" w:hint="default"/>
      </w:rPr>
    </w:lvl>
    <w:lvl w:ilvl="1" w:tplc="B3DCA772" w:tentative="1">
      <w:start w:val="1"/>
      <w:numFmt w:val="bullet"/>
      <w:lvlText w:val="•"/>
      <w:lvlJc w:val="left"/>
      <w:pPr>
        <w:tabs>
          <w:tab w:val="num" w:pos="1440"/>
        </w:tabs>
        <w:ind w:left="1440" w:hanging="360"/>
      </w:pPr>
      <w:rPr>
        <w:rFonts w:ascii="Arial" w:hAnsi="Arial" w:hint="default"/>
      </w:rPr>
    </w:lvl>
    <w:lvl w:ilvl="2" w:tplc="4FDE57FA">
      <w:start w:val="1"/>
      <w:numFmt w:val="bullet"/>
      <w:lvlText w:val="•"/>
      <w:lvlJc w:val="left"/>
      <w:pPr>
        <w:tabs>
          <w:tab w:val="num" w:pos="2160"/>
        </w:tabs>
        <w:ind w:left="2160" w:hanging="360"/>
      </w:pPr>
      <w:rPr>
        <w:rFonts w:ascii="Arial" w:hAnsi="Arial" w:hint="default"/>
      </w:rPr>
    </w:lvl>
    <w:lvl w:ilvl="3" w:tplc="6ACA1FEA" w:tentative="1">
      <w:start w:val="1"/>
      <w:numFmt w:val="bullet"/>
      <w:lvlText w:val="•"/>
      <w:lvlJc w:val="left"/>
      <w:pPr>
        <w:tabs>
          <w:tab w:val="num" w:pos="2880"/>
        </w:tabs>
        <w:ind w:left="2880" w:hanging="360"/>
      </w:pPr>
      <w:rPr>
        <w:rFonts w:ascii="Arial" w:hAnsi="Arial" w:hint="default"/>
      </w:rPr>
    </w:lvl>
    <w:lvl w:ilvl="4" w:tplc="AE4286CC" w:tentative="1">
      <w:start w:val="1"/>
      <w:numFmt w:val="bullet"/>
      <w:lvlText w:val="•"/>
      <w:lvlJc w:val="left"/>
      <w:pPr>
        <w:tabs>
          <w:tab w:val="num" w:pos="3600"/>
        </w:tabs>
        <w:ind w:left="3600" w:hanging="360"/>
      </w:pPr>
      <w:rPr>
        <w:rFonts w:ascii="Arial" w:hAnsi="Arial" w:hint="default"/>
      </w:rPr>
    </w:lvl>
    <w:lvl w:ilvl="5" w:tplc="AC061754" w:tentative="1">
      <w:start w:val="1"/>
      <w:numFmt w:val="bullet"/>
      <w:lvlText w:val="•"/>
      <w:lvlJc w:val="left"/>
      <w:pPr>
        <w:tabs>
          <w:tab w:val="num" w:pos="4320"/>
        </w:tabs>
        <w:ind w:left="4320" w:hanging="360"/>
      </w:pPr>
      <w:rPr>
        <w:rFonts w:ascii="Arial" w:hAnsi="Arial" w:hint="default"/>
      </w:rPr>
    </w:lvl>
    <w:lvl w:ilvl="6" w:tplc="4266B2A6" w:tentative="1">
      <w:start w:val="1"/>
      <w:numFmt w:val="bullet"/>
      <w:lvlText w:val="•"/>
      <w:lvlJc w:val="left"/>
      <w:pPr>
        <w:tabs>
          <w:tab w:val="num" w:pos="5040"/>
        </w:tabs>
        <w:ind w:left="5040" w:hanging="360"/>
      </w:pPr>
      <w:rPr>
        <w:rFonts w:ascii="Arial" w:hAnsi="Arial" w:hint="default"/>
      </w:rPr>
    </w:lvl>
    <w:lvl w:ilvl="7" w:tplc="3BBAC6F6" w:tentative="1">
      <w:start w:val="1"/>
      <w:numFmt w:val="bullet"/>
      <w:lvlText w:val="•"/>
      <w:lvlJc w:val="left"/>
      <w:pPr>
        <w:tabs>
          <w:tab w:val="num" w:pos="5760"/>
        </w:tabs>
        <w:ind w:left="5760" w:hanging="360"/>
      </w:pPr>
      <w:rPr>
        <w:rFonts w:ascii="Arial" w:hAnsi="Arial" w:hint="default"/>
      </w:rPr>
    </w:lvl>
    <w:lvl w:ilvl="8" w:tplc="50E8611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3"/>
  </w:num>
  <w:num w:numId="4">
    <w:abstractNumId w:val="6"/>
  </w:num>
  <w:num w:numId="5">
    <w:abstractNumId w:val="7"/>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F9"/>
    <w:rsid w:val="000C3309"/>
    <w:rsid w:val="00157492"/>
    <w:rsid w:val="001A1A5B"/>
    <w:rsid w:val="00305D90"/>
    <w:rsid w:val="0052337D"/>
    <w:rsid w:val="005E13F9"/>
    <w:rsid w:val="0065081C"/>
    <w:rsid w:val="006B3D59"/>
    <w:rsid w:val="006C7CB2"/>
    <w:rsid w:val="00967182"/>
    <w:rsid w:val="009C034C"/>
    <w:rsid w:val="00A839E8"/>
    <w:rsid w:val="00D611CC"/>
    <w:rsid w:val="00E85281"/>
    <w:rsid w:val="00F01E28"/>
    <w:rsid w:val="00FA512B"/>
    <w:rsid w:val="00FA7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21EC"/>
  <w15:chartTrackingRefBased/>
  <w15:docId w15:val="{6D99818B-072F-496C-A2CF-C66B25B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1A5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3F9"/>
    <w:pPr>
      <w:ind w:left="720"/>
      <w:contextualSpacing/>
    </w:pPr>
  </w:style>
  <w:style w:type="character" w:customStyle="1" w:styleId="Heading2Char">
    <w:name w:val="Heading 2 Char"/>
    <w:basedOn w:val="DefaultParagraphFont"/>
    <w:link w:val="Heading2"/>
    <w:uiPriority w:val="9"/>
    <w:rsid w:val="001A1A5B"/>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1A1A5B"/>
    <w:rPr>
      <w:color w:val="0563C1" w:themeColor="hyperlink"/>
      <w:u w:val="single"/>
    </w:rPr>
  </w:style>
  <w:style w:type="character" w:styleId="UnresolvedMention">
    <w:name w:val="Unresolved Mention"/>
    <w:basedOn w:val="DefaultParagraphFont"/>
    <w:uiPriority w:val="99"/>
    <w:semiHidden/>
    <w:unhideWhenUsed/>
    <w:rsid w:val="001A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3176">
      <w:bodyDiv w:val="1"/>
      <w:marLeft w:val="0"/>
      <w:marRight w:val="0"/>
      <w:marTop w:val="0"/>
      <w:marBottom w:val="0"/>
      <w:divBdr>
        <w:top w:val="none" w:sz="0" w:space="0" w:color="auto"/>
        <w:left w:val="none" w:sz="0" w:space="0" w:color="auto"/>
        <w:bottom w:val="none" w:sz="0" w:space="0" w:color="auto"/>
        <w:right w:val="none" w:sz="0" w:space="0" w:color="auto"/>
      </w:divBdr>
      <w:divsChild>
        <w:div w:id="1701666520">
          <w:marLeft w:val="547"/>
          <w:marRight w:val="0"/>
          <w:marTop w:val="133"/>
          <w:marBottom w:val="0"/>
          <w:divBdr>
            <w:top w:val="none" w:sz="0" w:space="0" w:color="auto"/>
            <w:left w:val="none" w:sz="0" w:space="0" w:color="auto"/>
            <w:bottom w:val="none" w:sz="0" w:space="0" w:color="auto"/>
            <w:right w:val="none" w:sz="0" w:space="0" w:color="auto"/>
          </w:divBdr>
        </w:div>
        <w:div w:id="1062943507">
          <w:marLeft w:val="547"/>
          <w:marRight w:val="0"/>
          <w:marTop w:val="133"/>
          <w:marBottom w:val="0"/>
          <w:divBdr>
            <w:top w:val="none" w:sz="0" w:space="0" w:color="auto"/>
            <w:left w:val="none" w:sz="0" w:space="0" w:color="auto"/>
            <w:bottom w:val="none" w:sz="0" w:space="0" w:color="auto"/>
            <w:right w:val="none" w:sz="0" w:space="0" w:color="auto"/>
          </w:divBdr>
        </w:div>
        <w:div w:id="1196700136">
          <w:marLeft w:val="547"/>
          <w:marRight w:val="0"/>
          <w:marTop w:val="133"/>
          <w:marBottom w:val="0"/>
          <w:divBdr>
            <w:top w:val="none" w:sz="0" w:space="0" w:color="auto"/>
            <w:left w:val="none" w:sz="0" w:space="0" w:color="auto"/>
            <w:bottom w:val="none" w:sz="0" w:space="0" w:color="auto"/>
            <w:right w:val="none" w:sz="0" w:space="0" w:color="auto"/>
          </w:divBdr>
        </w:div>
        <w:div w:id="286089736">
          <w:marLeft w:val="547"/>
          <w:marRight w:val="0"/>
          <w:marTop w:val="133"/>
          <w:marBottom w:val="0"/>
          <w:divBdr>
            <w:top w:val="none" w:sz="0" w:space="0" w:color="auto"/>
            <w:left w:val="none" w:sz="0" w:space="0" w:color="auto"/>
            <w:bottom w:val="none" w:sz="0" w:space="0" w:color="auto"/>
            <w:right w:val="none" w:sz="0" w:space="0" w:color="auto"/>
          </w:divBdr>
        </w:div>
      </w:divsChild>
    </w:div>
    <w:div w:id="259412272">
      <w:bodyDiv w:val="1"/>
      <w:marLeft w:val="0"/>
      <w:marRight w:val="0"/>
      <w:marTop w:val="0"/>
      <w:marBottom w:val="0"/>
      <w:divBdr>
        <w:top w:val="none" w:sz="0" w:space="0" w:color="auto"/>
        <w:left w:val="none" w:sz="0" w:space="0" w:color="auto"/>
        <w:bottom w:val="none" w:sz="0" w:space="0" w:color="auto"/>
        <w:right w:val="none" w:sz="0" w:space="0" w:color="auto"/>
      </w:divBdr>
    </w:div>
    <w:div w:id="495073579">
      <w:bodyDiv w:val="1"/>
      <w:marLeft w:val="0"/>
      <w:marRight w:val="0"/>
      <w:marTop w:val="0"/>
      <w:marBottom w:val="0"/>
      <w:divBdr>
        <w:top w:val="none" w:sz="0" w:space="0" w:color="auto"/>
        <w:left w:val="none" w:sz="0" w:space="0" w:color="auto"/>
        <w:bottom w:val="none" w:sz="0" w:space="0" w:color="auto"/>
        <w:right w:val="none" w:sz="0" w:space="0" w:color="auto"/>
      </w:divBdr>
      <w:divsChild>
        <w:div w:id="2145271482">
          <w:marLeft w:val="547"/>
          <w:marRight w:val="0"/>
          <w:marTop w:val="133"/>
          <w:marBottom w:val="0"/>
          <w:divBdr>
            <w:top w:val="none" w:sz="0" w:space="0" w:color="auto"/>
            <w:left w:val="none" w:sz="0" w:space="0" w:color="auto"/>
            <w:bottom w:val="none" w:sz="0" w:space="0" w:color="auto"/>
            <w:right w:val="none" w:sz="0" w:space="0" w:color="auto"/>
          </w:divBdr>
        </w:div>
        <w:div w:id="1973441111">
          <w:marLeft w:val="547"/>
          <w:marRight w:val="0"/>
          <w:marTop w:val="133"/>
          <w:marBottom w:val="0"/>
          <w:divBdr>
            <w:top w:val="none" w:sz="0" w:space="0" w:color="auto"/>
            <w:left w:val="none" w:sz="0" w:space="0" w:color="auto"/>
            <w:bottom w:val="none" w:sz="0" w:space="0" w:color="auto"/>
            <w:right w:val="none" w:sz="0" w:space="0" w:color="auto"/>
          </w:divBdr>
        </w:div>
        <w:div w:id="786778755">
          <w:marLeft w:val="547"/>
          <w:marRight w:val="0"/>
          <w:marTop w:val="133"/>
          <w:marBottom w:val="0"/>
          <w:divBdr>
            <w:top w:val="none" w:sz="0" w:space="0" w:color="auto"/>
            <w:left w:val="none" w:sz="0" w:space="0" w:color="auto"/>
            <w:bottom w:val="none" w:sz="0" w:space="0" w:color="auto"/>
            <w:right w:val="none" w:sz="0" w:space="0" w:color="auto"/>
          </w:divBdr>
        </w:div>
        <w:div w:id="1900355931">
          <w:marLeft w:val="547"/>
          <w:marRight w:val="0"/>
          <w:marTop w:val="133"/>
          <w:marBottom w:val="0"/>
          <w:divBdr>
            <w:top w:val="none" w:sz="0" w:space="0" w:color="auto"/>
            <w:left w:val="none" w:sz="0" w:space="0" w:color="auto"/>
            <w:bottom w:val="none" w:sz="0" w:space="0" w:color="auto"/>
            <w:right w:val="none" w:sz="0" w:space="0" w:color="auto"/>
          </w:divBdr>
        </w:div>
        <w:div w:id="246354269">
          <w:marLeft w:val="547"/>
          <w:marRight w:val="0"/>
          <w:marTop w:val="133"/>
          <w:marBottom w:val="0"/>
          <w:divBdr>
            <w:top w:val="none" w:sz="0" w:space="0" w:color="auto"/>
            <w:left w:val="none" w:sz="0" w:space="0" w:color="auto"/>
            <w:bottom w:val="none" w:sz="0" w:space="0" w:color="auto"/>
            <w:right w:val="none" w:sz="0" w:space="0" w:color="auto"/>
          </w:divBdr>
        </w:div>
        <w:div w:id="1410078619">
          <w:marLeft w:val="547"/>
          <w:marRight w:val="0"/>
          <w:marTop w:val="133"/>
          <w:marBottom w:val="0"/>
          <w:divBdr>
            <w:top w:val="none" w:sz="0" w:space="0" w:color="auto"/>
            <w:left w:val="none" w:sz="0" w:space="0" w:color="auto"/>
            <w:bottom w:val="none" w:sz="0" w:space="0" w:color="auto"/>
            <w:right w:val="none" w:sz="0" w:space="0" w:color="auto"/>
          </w:divBdr>
        </w:div>
      </w:divsChild>
    </w:div>
    <w:div w:id="814834479">
      <w:bodyDiv w:val="1"/>
      <w:marLeft w:val="0"/>
      <w:marRight w:val="0"/>
      <w:marTop w:val="0"/>
      <w:marBottom w:val="0"/>
      <w:divBdr>
        <w:top w:val="none" w:sz="0" w:space="0" w:color="auto"/>
        <w:left w:val="none" w:sz="0" w:space="0" w:color="auto"/>
        <w:bottom w:val="none" w:sz="0" w:space="0" w:color="auto"/>
        <w:right w:val="none" w:sz="0" w:space="0" w:color="auto"/>
      </w:divBdr>
      <w:divsChild>
        <w:div w:id="1702318289">
          <w:marLeft w:val="547"/>
          <w:marRight w:val="0"/>
          <w:marTop w:val="133"/>
          <w:marBottom w:val="0"/>
          <w:divBdr>
            <w:top w:val="none" w:sz="0" w:space="0" w:color="auto"/>
            <w:left w:val="none" w:sz="0" w:space="0" w:color="auto"/>
            <w:bottom w:val="none" w:sz="0" w:space="0" w:color="auto"/>
            <w:right w:val="none" w:sz="0" w:space="0" w:color="auto"/>
          </w:divBdr>
        </w:div>
        <w:div w:id="1519463874">
          <w:marLeft w:val="547"/>
          <w:marRight w:val="0"/>
          <w:marTop w:val="133"/>
          <w:marBottom w:val="0"/>
          <w:divBdr>
            <w:top w:val="none" w:sz="0" w:space="0" w:color="auto"/>
            <w:left w:val="none" w:sz="0" w:space="0" w:color="auto"/>
            <w:bottom w:val="none" w:sz="0" w:space="0" w:color="auto"/>
            <w:right w:val="none" w:sz="0" w:space="0" w:color="auto"/>
          </w:divBdr>
        </w:div>
        <w:div w:id="2051296616">
          <w:marLeft w:val="547"/>
          <w:marRight w:val="0"/>
          <w:marTop w:val="133"/>
          <w:marBottom w:val="0"/>
          <w:divBdr>
            <w:top w:val="none" w:sz="0" w:space="0" w:color="auto"/>
            <w:left w:val="none" w:sz="0" w:space="0" w:color="auto"/>
            <w:bottom w:val="none" w:sz="0" w:space="0" w:color="auto"/>
            <w:right w:val="none" w:sz="0" w:space="0" w:color="auto"/>
          </w:divBdr>
        </w:div>
      </w:divsChild>
    </w:div>
    <w:div w:id="868109610">
      <w:bodyDiv w:val="1"/>
      <w:marLeft w:val="0"/>
      <w:marRight w:val="0"/>
      <w:marTop w:val="0"/>
      <w:marBottom w:val="0"/>
      <w:divBdr>
        <w:top w:val="none" w:sz="0" w:space="0" w:color="auto"/>
        <w:left w:val="none" w:sz="0" w:space="0" w:color="auto"/>
        <w:bottom w:val="none" w:sz="0" w:space="0" w:color="auto"/>
        <w:right w:val="none" w:sz="0" w:space="0" w:color="auto"/>
      </w:divBdr>
    </w:div>
    <w:div w:id="893389266">
      <w:bodyDiv w:val="1"/>
      <w:marLeft w:val="0"/>
      <w:marRight w:val="0"/>
      <w:marTop w:val="0"/>
      <w:marBottom w:val="0"/>
      <w:divBdr>
        <w:top w:val="none" w:sz="0" w:space="0" w:color="auto"/>
        <w:left w:val="none" w:sz="0" w:space="0" w:color="auto"/>
        <w:bottom w:val="none" w:sz="0" w:space="0" w:color="auto"/>
        <w:right w:val="none" w:sz="0" w:space="0" w:color="auto"/>
      </w:divBdr>
      <w:divsChild>
        <w:div w:id="812218004">
          <w:marLeft w:val="547"/>
          <w:marRight w:val="0"/>
          <w:marTop w:val="133"/>
          <w:marBottom w:val="0"/>
          <w:divBdr>
            <w:top w:val="none" w:sz="0" w:space="0" w:color="auto"/>
            <w:left w:val="none" w:sz="0" w:space="0" w:color="auto"/>
            <w:bottom w:val="none" w:sz="0" w:space="0" w:color="auto"/>
            <w:right w:val="none" w:sz="0" w:space="0" w:color="auto"/>
          </w:divBdr>
        </w:div>
        <w:div w:id="572088776">
          <w:marLeft w:val="547"/>
          <w:marRight w:val="0"/>
          <w:marTop w:val="133"/>
          <w:marBottom w:val="0"/>
          <w:divBdr>
            <w:top w:val="none" w:sz="0" w:space="0" w:color="auto"/>
            <w:left w:val="none" w:sz="0" w:space="0" w:color="auto"/>
            <w:bottom w:val="none" w:sz="0" w:space="0" w:color="auto"/>
            <w:right w:val="none" w:sz="0" w:space="0" w:color="auto"/>
          </w:divBdr>
        </w:div>
        <w:div w:id="1338968416">
          <w:marLeft w:val="547"/>
          <w:marRight w:val="0"/>
          <w:marTop w:val="133"/>
          <w:marBottom w:val="0"/>
          <w:divBdr>
            <w:top w:val="none" w:sz="0" w:space="0" w:color="auto"/>
            <w:left w:val="none" w:sz="0" w:space="0" w:color="auto"/>
            <w:bottom w:val="none" w:sz="0" w:space="0" w:color="auto"/>
            <w:right w:val="none" w:sz="0" w:space="0" w:color="auto"/>
          </w:divBdr>
        </w:div>
      </w:divsChild>
    </w:div>
    <w:div w:id="918439185">
      <w:bodyDiv w:val="1"/>
      <w:marLeft w:val="0"/>
      <w:marRight w:val="0"/>
      <w:marTop w:val="0"/>
      <w:marBottom w:val="0"/>
      <w:divBdr>
        <w:top w:val="none" w:sz="0" w:space="0" w:color="auto"/>
        <w:left w:val="none" w:sz="0" w:space="0" w:color="auto"/>
        <w:bottom w:val="none" w:sz="0" w:space="0" w:color="auto"/>
        <w:right w:val="none" w:sz="0" w:space="0" w:color="auto"/>
      </w:divBdr>
    </w:div>
    <w:div w:id="1176270119">
      <w:bodyDiv w:val="1"/>
      <w:marLeft w:val="0"/>
      <w:marRight w:val="0"/>
      <w:marTop w:val="0"/>
      <w:marBottom w:val="0"/>
      <w:divBdr>
        <w:top w:val="none" w:sz="0" w:space="0" w:color="auto"/>
        <w:left w:val="none" w:sz="0" w:space="0" w:color="auto"/>
        <w:bottom w:val="none" w:sz="0" w:space="0" w:color="auto"/>
        <w:right w:val="none" w:sz="0" w:space="0" w:color="auto"/>
      </w:divBdr>
      <w:divsChild>
        <w:div w:id="1571428528">
          <w:marLeft w:val="547"/>
          <w:marRight w:val="0"/>
          <w:marTop w:val="133"/>
          <w:marBottom w:val="0"/>
          <w:divBdr>
            <w:top w:val="none" w:sz="0" w:space="0" w:color="auto"/>
            <w:left w:val="none" w:sz="0" w:space="0" w:color="auto"/>
            <w:bottom w:val="none" w:sz="0" w:space="0" w:color="auto"/>
            <w:right w:val="none" w:sz="0" w:space="0" w:color="auto"/>
          </w:divBdr>
        </w:div>
        <w:div w:id="1261253191">
          <w:marLeft w:val="547"/>
          <w:marRight w:val="0"/>
          <w:marTop w:val="133"/>
          <w:marBottom w:val="0"/>
          <w:divBdr>
            <w:top w:val="none" w:sz="0" w:space="0" w:color="auto"/>
            <w:left w:val="none" w:sz="0" w:space="0" w:color="auto"/>
            <w:bottom w:val="none" w:sz="0" w:space="0" w:color="auto"/>
            <w:right w:val="none" w:sz="0" w:space="0" w:color="auto"/>
          </w:divBdr>
        </w:div>
        <w:div w:id="78992530">
          <w:marLeft w:val="547"/>
          <w:marRight w:val="0"/>
          <w:marTop w:val="133"/>
          <w:marBottom w:val="0"/>
          <w:divBdr>
            <w:top w:val="none" w:sz="0" w:space="0" w:color="auto"/>
            <w:left w:val="none" w:sz="0" w:space="0" w:color="auto"/>
            <w:bottom w:val="none" w:sz="0" w:space="0" w:color="auto"/>
            <w:right w:val="none" w:sz="0" w:space="0" w:color="auto"/>
          </w:divBdr>
        </w:div>
        <w:div w:id="1571650462">
          <w:marLeft w:val="821"/>
          <w:marRight w:val="0"/>
          <w:marTop w:val="133"/>
          <w:marBottom w:val="0"/>
          <w:divBdr>
            <w:top w:val="none" w:sz="0" w:space="0" w:color="auto"/>
            <w:left w:val="none" w:sz="0" w:space="0" w:color="auto"/>
            <w:bottom w:val="none" w:sz="0" w:space="0" w:color="auto"/>
            <w:right w:val="none" w:sz="0" w:space="0" w:color="auto"/>
          </w:divBdr>
        </w:div>
        <w:div w:id="1481190101">
          <w:marLeft w:val="821"/>
          <w:marRight w:val="0"/>
          <w:marTop w:val="133"/>
          <w:marBottom w:val="0"/>
          <w:divBdr>
            <w:top w:val="none" w:sz="0" w:space="0" w:color="auto"/>
            <w:left w:val="none" w:sz="0" w:space="0" w:color="auto"/>
            <w:bottom w:val="none" w:sz="0" w:space="0" w:color="auto"/>
            <w:right w:val="none" w:sz="0" w:space="0" w:color="auto"/>
          </w:divBdr>
        </w:div>
        <w:div w:id="1635478756">
          <w:marLeft w:val="821"/>
          <w:marRight w:val="0"/>
          <w:marTop w:val="133"/>
          <w:marBottom w:val="0"/>
          <w:divBdr>
            <w:top w:val="none" w:sz="0" w:space="0" w:color="auto"/>
            <w:left w:val="none" w:sz="0" w:space="0" w:color="auto"/>
            <w:bottom w:val="none" w:sz="0" w:space="0" w:color="auto"/>
            <w:right w:val="none" w:sz="0" w:space="0" w:color="auto"/>
          </w:divBdr>
        </w:div>
        <w:div w:id="568996873">
          <w:marLeft w:val="821"/>
          <w:marRight w:val="0"/>
          <w:marTop w:val="133"/>
          <w:marBottom w:val="0"/>
          <w:divBdr>
            <w:top w:val="none" w:sz="0" w:space="0" w:color="auto"/>
            <w:left w:val="none" w:sz="0" w:space="0" w:color="auto"/>
            <w:bottom w:val="none" w:sz="0" w:space="0" w:color="auto"/>
            <w:right w:val="none" w:sz="0" w:space="0" w:color="auto"/>
          </w:divBdr>
        </w:div>
      </w:divsChild>
    </w:div>
    <w:div w:id="1227490749">
      <w:bodyDiv w:val="1"/>
      <w:marLeft w:val="0"/>
      <w:marRight w:val="0"/>
      <w:marTop w:val="0"/>
      <w:marBottom w:val="0"/>
      <w:divBdr>
        <w:top w:val="none" w:sz="0" w:space="0" w:color="auto"/>
        <w:left w:val="none" w:sz="0" w:space="0" w:color="auto"/>
        <w:bottom w:val="none" w:sz="0" w:space="0" w:color="auto"/>
        <w:right w:val="none" w:sz="0" w:space="0" w:color="auto"/>
      </w:divBdr>
    </w:div>
    <w:div w:id="1498381364">
      <w:bodyDiv w:val="1"/>
      <w:marLeft w:val="0"/>
      <w:marRight w:val="0"/>
      <w:marTop w:val="0"/>
      <w:marBottom w:val="0"/>
      <w:divBdr>
        <w:top w:val="none" w:sz="0" w:space="0" w:color="auto"/>
        <w:left w:val="none" w:sz="0" w:space="0" w:color="auto"/>
        <w:bottom w:val="none" w:sz="0" w:space="0" w:color="auto"/>
        <w:right w:val="none" w:sz="0" w:space="0" w:color="auto"/>
      </w:divBdr>
      <w:divsChild>
        <w:div w:id="449009017">
          <w:marLeft w:val="547"/>
          <w:marRight w:val="0"/>
          <w:marTop w:val="133"/>
          <w:marBottom w:val="0"/>
          <w:divBdr>
            <w:top w:val="none" w:sz="0" w:space="0" w:color="auto"/>
            <w:left w:val="none" w:sz="0" w:space="0" w:color="auto"/>
            <w:bottom w:val="none" w:sz="0" w:space="0" w:color="auto"/>
            <w:right w:val="none" w:sz="0" w:space="0" w:color="auto"/>
          </w:divBdr>
        </w:div>
        <w:div w:id="2021547494">
          <w:marLeft w:val="547"/>
          <w:marRight w:val="0"/>
          <w:marTop w:val="133"/>
          <w:marBottom w:val="0"/>
          <w:divBdr>
            <w:top w:val="none" w:sz="0" w:space="0" w:color="auto"/>
            <w:left w:val="none" w:sz="0" w:space="0" w:color="auto"/>
            <w:bottom w:val="none" w:sz="0" w:space="0" w:color="auto"/>
            <w:right w:val="none" w:sz="0" w:space="0" w:color="auto"/>
          </w:divBdr>
        </w:div>
        <w:div w:id="649678284">
          <w:marLeft w:val="547"/>
          <w:marRight w:val="0"/>
          <w:marTop w:val="133"/>
          <w:marBottom w:val="0"/>
          <w:divBdr>
            <w:top w:val="none" w:sz="0" w:space="0" w:color="auto"/>
            <w:left w:val="none" w:sz="0" w:space="0" w:color="auto"/>
            <w:bottom w:val="none" w:sz="0" w:space="0" w:color="auto"/>
            <w:right w:val="none" w:sz="0" w:space="0" w:color="auto"/>
          </w:divBdr>
        </w:div>
        <w:div w:id="405226080">
          <w:marLeft w:val="547"/>
          <w:marRight w:val="0"/>
          <w:marTop w:val="133"/>
          <w:marBottom w:val="0"/>
          <w:divBdr>
            <w:top w:val="none" w:sz="0" w:space="0" w:color="auto"/>
            <w:left w:val="none" w:sz="0" w:space="0" w:color="auto"/>
            <w:bottom w:val="none" w:sz="0" w:space="0" w:color="auto"/>
            <w:right w:val="none" w:sz="0" w:space="0" w:color="auto"/>
          </w:divBdr>
        </w:div>
        <w:div w:id="840970095">
          <w:marLeft w:val="547"/>
          <w:marRight w:val="0"/>
          <w:marTop w:val="133"/>
          <w:marBottom w:val="0"/>
          <w:divBdr>
            <w:top w:val="none" w:sz="0" w:space="0" w:color="auto"/>
            <w:left w:val="none" w:sz="0" w:space="0" w:color="auto"/>
            <w:bottom w:val="none" w:sz="0" w:space="0" w:color="auto"/>
            <w:right w:val="none" w:sz="0" w:space="0" w:color="auto"/>
          </w:divBdr>
        </w:div>
        <w:div w:id="677928839">
          <w:marLeft w:val="547"/>
          <w:marRight w:val="0"/>
          <w:marTop w:val="133"/>
          <w:marBottom w:val="0"/>
          <w:divBdr>
            <w:top w:val="none" w:sz="0" w:space="0" w:color="auto"/>
            <w:left w:val="none" w:sz="0" w:space="0" w:color="auto"/>
            <w:bottom w:val="none" w:sz="0" w:space="0" w:color="auto"/>
            <w:right w:val="none" w:sz="0" w:space="0" w:color="auto"/>
          </w:divBdr>
        </w:div>
      </w:divsChild>
    </w:div>
    <w:div w:id="1537699485">
      <w:bodyDiv w:val="1"/>
      <w:marLeft w:val="0"/>
      <w:marRight w:val="0"/>
      <w:marTop w:val="0"/>
      <w:marBottom w:val="0"/>
      <w:divBdr>
        <w:top w:val="none" w:sz="0" w:space="0" w:color="auto"/>
        <w:left w:val="none" w:sz="0" w:space="0" w:color="auto"/>
        <w:bottom w:val="none" w:sz="0" w:space="0" w:color="auto"/>
        <w:right w:val="none" w:sz="0" w:space="0" w:color="auto"/>
      </w:divBdr>
      <w:divsChild>
        <w:div w:id="645205230">
          <w:marLeft w:val="547"/>
          <w:marRight w:val="0"/>
          <w:marTop w:val="133"/>
          <w:marBottom w:val="0"/>
          <w:divBdr>
            <w:top w:val="none" w:sz="0" w:space="0" w:color="auto"/>
            <w:left w:val="none" w:sz="0" w:space="0" w:color="auto"/>
            <w:bottom w:val="none" w:sz="0" w:space="0" w:color="auto"/>
            <w:right w:val="none" w:sz="0" w:space="0" w:color="auto"/>
          </w:divBdr>
        </w:div>
        <w:div w:id="1033923693">
          <w:marLeft w:val="547"/>
          <w:marRight w:val="0"/>
          <w:marTop w:val="133"/>
          <w:marBottom w:val="0"/>
          <w:divBdr>
            <w:top w:val="none" w:sz="0" w:space="0" w:color="auto"/>
            <w:left w:val="none" w:sz="0" w:space="0" w:color="auto"/>
            <w:bottom w:val="none" w:sz="0" w:space="0" w:color="auto"/>
            <w:right w:val="none" w:sz="0" w:space="0" w:color="auto"/>
          </w:divBdr>
        </w:div>
        <w:div w:id="1245607089">
          <w:marLeft w:val="547"/>
          <w:marRight w:val="0"/>
          <w:marTop w:val="133"/>
          <w:marBottom w:val="0"/>
          <w:divBdr>
            <w:top w:val="none" w:sz="0" w:space="0" w:color="auto"/>
            <w:left w:val="none" w:sz="0" w:space="0" w:color="auto"/>
            <w:bottom w:val="none" w:sz="0" w:space="0" w:color="auto"/>
            <w:right w:val="none" w:sz="0" w:space="0" w:color="auto"/>
          </w:divBdr>
        </w:div>
      </w:divsChild>
    </w:div>
    <w:div w:id="1551725739">
      <w:bodyDiv w:val="1"/>
      <w:marLeft w:val="0"/>
      <w:marRight w:val="0"/>
      <w:marTop w:val="0"/>
      <w:marBottom w:val="0"/>
      <w:divBdr>
        <w:top w:val="none" w:sz="0" w:space="0" w:color="auto"/>
        <w:left w:val="none" w:sz="0" w:space="0" w:color="auto"/>
        <w:bottom w:val="none" w:sz="0" w:space="0" w:color="auto"/>
        <w:right w:val="none" w:sz="0" w:space="0" w:color="auto"/>
      </w:divBdr>
      <w:divsChild>
        <w:div w:id="1526484045">
          <w:marLeft w:val="547"/>
          <w:marRight w:val="0"/>
          <w:marTop w:val="133"/>
          <w:marBottom w:val="0"/>
          <w:divBdr>
            <w:top w:val="none" w:sz="0" w:space="0" w:color="auto"/>
            <w:left w:val="none" w:sz="0" w:space="0" w:color="auto"/>
            <w:bottom w:val="none" w:sz="0" w:space="0" w:color="auto"/>
            <w:right w:val="none" w:sz="0" w:space="0" w:color="auto"/>
          </w:divBdr>
        </w:div>
        <w:div w:id="1008218583">
          <w:marLeft w:val="547"/>
          <w:marRight w:val="0"/>
          <w:marTop w:val="133"/>
          <w:marBottom w:val="0"/>
          <w:divBdr>
            <w:top w:val="none" w:sz="0" w:space="0" w:color="auto"/>
            <w:left w:val="none" w:sz="0" w:space="0" w:color="auto"/>
            <w:bottom w:val="none" w:sz="0" w:space="0" w:color="auto"/>
            <w:right w:val="none" w:sz="0" w:space="0" w:color="auto"/>
          </w:divBdr>
        </w:div>
        <w:div w:id="938103616">
          <w:marLeft w:val="547"/>
          <w:marRight w:val="0"/>
          <w:marTop w:val="133"/>
          <w:marBottom w:val="0"/>
          <w:divBdr>
            <w:top w:val="none" w:sz="0" w:space="0" w:color="auto"/>
            <w:left w:val="none" w:sz="0" w:space="0" w:color="auto"/>
            <w:bottom w:val="none" w:sz="0" w:space="0" w:color="auto"/>
            <w:right w:val="none" w:sz="0" w:space="0" w:color="auto"/>
          </w:divBdr>
        </w:div>
        <w:div w:id="1972830517">
          <w:marLeft w:val="547"/>
          <w:marRight w:val="0"/>
          <w:marTop w:val="133"/>
          <w:marBottom w:val="0"/>
          <w:divBdr>
            <w:top w:val="none" w:sz="0" w:space="0" w:color="auto"/>
            <w:left w:val="none" w:sz="0" w:space="0" w:color="auto"/>
            <w:bottom w:val="none" w:sz="0" w:space="0" w:color="auto"/>
            <w:right w:val="none" w:sz="0" w:space="0" w:color="auto"/>
          </w:divBdr>
        </w:div>
        <w:div w:id="2129161293">
          <w:marLeft w:val="547"/>
          <w:marRight w:val="0"/>
          <w:marTop w:val="133"/>
          <w:marBottom w:val="0"/>
          <w:divBdr>
            <w:top w:val="none" w:sz="0" w:space="0" w:color="auto"/>
            <w:left w:val="none" w:sz="0" w:space="0" w:color="auto"/>
            <w:bottom w:val="none" w:sz="0" w:space="0" w:color="auto"/>
            <w:right w:val="none" w:sz="0" w:space="0" w:color="auto"/>
          </w:divBdr>
        </w:div>
      </w:divsChild>
    </w:div>
    <w:div w:id="16978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au/Details/F2017L011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Dicker</dc:creator>
  <cp:keywords/>
  <dc:description/>
  <cp:lastModifiedBy>Michelle Dicker</cp:lastModifiedBy>
  <cp:revision>7</cp:revision>
  <dcterms:created xsi:type="dcterms:W3CDTF">2021-05-25T03:09:00Z</dcterms:created>
  <dcterms:modified xsi:type="dcterms:W3CDTF">2021-05-26T01:04:00Z</dcterms:modified>
</cp:coreProperties>
</file>