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AFB4" w14:textId="77777777" w:rsidR="00CB3A15" w:rsidRPr="00CB3A15" w:rsidRDefault="00CB3A15" w:rsidP="00EA2ECB">
      <w:pPr>
        <w:keepNext/>
        <w:keepLines/>
        <w:spacing w:before="320" w:after="320" w:line="240" w:lineRule="auto"/>
        <w:jc w:val="center"/>
        <w:outlineLvl w:val="0"/>
        <w:rPr>
          <w:rFonts w:ascii="Arial" w:hAnsi="Arial" w:cs="Arial"/>
          <w:color w:val="365F91"/>
          <w:sz w:val="32"/>
          <w:szCs w:val="32"/>
          <w:lang w:val="en-AU" w:eastAsia="en-AU"/>
        </w:rPr>
      </w:pPr>
      <w:r w:rsidRPr="00CB3A15">
        <w:rPr>
          <w:rFonts w:ascii="Arial" w:hAnsi="Arial" w:cs="Arial"/>
          <w:color w:val="365F91"/>
          <w:sz w:val="32"/>
          <w:szCs w:val="32"/>
          <w:lang w:val="en-AU" w:eastAsia="en-AU"/>
        </w:rPr>
        <w:t>TERMS OF REFERENCE</w:t>
      </w:r>
    </w:p>
    <w:p w14:paraId="592E6D7A" w14:textId="34FAC450" w:rsidR="00CB3A15" w:rsidRPr="004D4A22" w:rsidRDefault="004D4A22" w:rsidP="00EA2ECB">
      <w:pPr>
        <w:spacing w:before="240" w:after="360" w:line="300" w:lineRule="auto"/>
        <w:jc w:val="center"/>
        <w:rPr>
          <w:rFonts w:ascii="Calibri" w:hAnsi="Calibri" w:cs="Calibri"/>
          <w:b/>
          <w:caps/>
          <w:color w:val="auto"/>
          <w:sz w:val="32"/>
          <w:szCs w:val="28"/>
          <w:lang w:val="en-AU" w:eastAsia="en-AU"/>
        </w:rPr>
      </w:pPr>
      <w:r w:rsidRPr="004D4A22">
        <w:rPr>
          <w:rFonts w:ascii="Calibri" w:hAnsi="Calibri" w:cs="Calibri"/>
          <w:b/>
          <w:caps/>
          <w:color w:val="auto"/>
          <w:sz w:val="32"/>
          <w:szCs w:val="28"/>
          <w:lang w:val="en-AU" w:eastAsia="en-AU"/>
        </w:rPr>
        <w:t>Review of the</w:t>
      </w:r>
      <w:r w:rsidR="00CB3A15" w:rsidRPr="004D4A22">
        <w:rPr>
          <w:rFonts w:ascii="Calibri" w:hAnsi="Calibri" w:cs="Calibri"/>
          <w:b/>
          <w:caps/>
          <w:color w:val="auto"/>
          <w:sz w:val="32"/>
          <w:szCs w:val="28"/>
          <w:lang w:val="en-AU" w:eastAsia="en-AU"/>
        </w:rPr>
        <w:t xml:space="preserve"> </w:t>
      </w:r>
      <w:r w:rsidRPr="004D4A22">
        <w:rPr>
          <w:rFonts w:ascii="Calibri" w:hAnsi="Calibri"/>
          <w:b/>
          <w:caps/>
          <w:color w:val="auto"/>
          <w:sz w:val="32"/>
        </w:rPr>
        <w:t xml:space="preserve">Master of Minimally Invasive Surgery </w:t>
      </w:r>
      <w:r w:rsidRPr="004D4A22">
        <w:rPr>
          <w:rFonts w:ascii="Calibri" w:hAnsi="Calibri" w:cs="Calibri"/>
          <w:b/>
          <w:caps/>
          <w:color w:val="auto"/>
          <w:sz w:val="32"/>
          <w:szCs w:val="28"/>
          <w:lang w:val="en-AU" w:eastAsia="en-AU"/>
        </w:rPr>
        <w:t>offered by</w:t>
      </w:r>
      <w:r w:rsidR="00CB3A15" w:rsidRPr="004D4A22">
        <w:rPr>
          <w:rFonts w:ascii="Calibri" w:hAnsi="Calibri" w:cs="Calibri"/>
          <w:b/>
          <w:caps/>
          <w:color w:val="auto"/>
          <w:sz w:val="32"/>
          <w:szCs w:val="28"/>
          <w:lang w:val="en-AU" w:eastAsia="en-AU"/>
        </w:rPr>
        <w:t xml:space="preserve"> </w:t>
      </w:r>
      <w:r w:rsidRPr="004D4A22">
        <w:rPr>
          <w:rFonts w:ascii="Calibri" w:hAnsi="Calibri" w:cs="Calibri"/>
          <w:b/>
          <w:caps/>
          <w:color w:val="auto"/>
          <w:sz w:val="32"/>
          <w:szCs w:val="28"/>
          <w:lang w:val="en-AU" w:eastAsia="en-AU"/>
        </w:rPr>
        <w:br/>
        <w:t>the Faculty of Health and Medical Sciences</w:t>
      </w:r>
    </w:p>
    <w:p w14:paraId="125DB27C" w14:textId="124D10E9"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program to be considered under the Review </w:t>
      </w:r>
      <w:r w:rsidR="004D4A22">
        <w:rPr>
          <w:rFonts w:ascii="Calibri" w:hAnsi="Calibri" w:cs="Times New Roman"/>
          <w:color w:val="auto"/>
          <w:sz w:val="21"/>
          <w:szCs w:val="21"/>
          <w:lang w:val="en-AU" w:eastAsia="en-AU"/>
        </w:rPr>
        <w:t>is the</w:t>
      </w:r>
      <w:r w:rsidRPr="005C2142">
        <w:rPr>
          <w:rFonts w:ascii="Calibri" w:hAnsi="Calibri" w:cs="Times New Roman"/>
          <w:color w:val="auto"/>
          <w:sz w:val="21"/>
          <w:szCs w:val="21"/>
          <w:lang w:val="en-AU" w:eastAsia="en-AU"/>
        </w:rPr>
        <w:t>:</w:t>
      </w:r>
    </w:p>
    <w:p w14:paraId="575140E0" w14:textId="3B92DB81" w:rsidR="005C2142" w:rsidRPr="005C2142" w:rsidRDefault="004D4A22" w:rsidP="005C2142">
      <w:pPr>
        <w:numPr>
          <w:ilvl w:val="0"/>
          <w:numId w:val="21"/>
        </w:numPr>
        <w:spacing w:after="160" w:line="300" w:lineRule="auto"/>
        <w:ind w:right="143"/>
        <w:rPr>
          <w:rFonts w:ascii="Calibri" w:hAnsi="Calibri" w:cs="Times New Roman"/>
          <w:color w:val="auto"/>
          <w:sz w:val="21"/>
          <w:szCs w:val="21"/>
          <w:lang w:val="en-AU" w:eastAsia="en-AU"/>
        </w:rPr>
      </w:pPr>
      <w:r w:rsidRPr="004D4A22">
        <w:rPr>
          <w:rFonts w:ascii="Calibri" w:hAnsi="Calibri" w:cs="Times New Roman"/>
          <w:color w:val="auto"/>
          <w:sz w:val="21"/>
          <w:szCs w:val="21"/>
          <w:lang w:val="en-AU" w:eastAsia="en-AU"/>
        </w:rPr>
        <w:t>Master of Minimally Invasive Surgery</w:t>
      </w:r>
    </w:p>
    <w:p w14:paraId="25CFCEC4" w14:textId="77777777" w:rsidR="0067238E" w:rsidRDefault="0067238E" w:rsidP="005C2142">
      <w:pPr>
        <w:spacing w:after="160" w:line="300" w:lineRule="auto"/>
        <w:ind w:left="284" w:right="143"/>
        <w:rPr>
          <w:rFonts w:ascii="Calibri" w:hAnsi="Calibri" w:cs="Times New Roman"/>
          <w:color w:val="auto"/>
          <w:sz w:val="21"/>
          <w:szCs w:val="21"/>
          <w:lang w:val="en-AU" w:eastAsia="en-AU"/>
        </w:rPr>
      </w:pPr>
    </w:p>
    <w:p w14:paraId="2977B34F" w14:textId="3B1B6A75"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Review is conducted within the University’s seven-year Program Review cycle. The Review will consider the views of relevant internal stakeholder groups, including students, </w:t>
      </w:r>
      <w:proofErr w:type="gramStart"/>
      <w:r w:rsidRPr="005C2142">
        <w:rPr>
          <w:rFonts w:ascii="Calibri" w:hAnsi="Calibri" w:cs="Times New Roman"/>
          <w:color w:val="auto"/>
          <w:sz w:val="21"/>
          <w:szCs w:val="21"/>
          <w:lang w:val="en-AU" w:eastAsia="en-AU"/>
        </w:rPr>
        <w:t>staff</w:t>
      </w:r>
      <w:proofErr w:type="gramEnd"/>
      <w:r w:rsidRPr="005C2142">
        <w:rPr>
          <w:rFonts w:ascii="Calibri" w:hAnsi="Calibri" w:cs="Times New Roman"/>
          <w:color w:val="auto"/>
          <w:sz w:val="21"/>
          <w:szCs w:val="21"/>
          <w:lang w:val="en-AU" w:eastAsia="en-AU"/>
        </w:rPr>
        <w:t xml:space="preserve"> and other relevant academic areas of the University, and of relevant external stakeholder groups including employers, alumni and representatives of relevant professions.</w:t>
      </w:r>
    </w:p>
    <w:p w14:paraId="7026B1FE"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Faculty Self-Evaluation process and report should address the aims of the review outlined below.</w:t>
      </w:r>
    </w:p>
    <w:p w14:paraId="1787446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Review Panel is asked to assess the </w:t>
      </w:r>
      <w:proofErr w:type="gramStart"/>
      <w:r w:rsidRPr="005C2142">
        <w:rPr>
          <w:rFonts w:ascii="Calibri" w:hAnsi="Calibri" w:cs="Times New Roman"/>
          <w:color w:val="auto"/>
          <w:sz w:val="21"/>
          <w:szCs w:val="21"/>
          <w:lang w:val="en-AU" w:eastAsia="en-AU"/>
        </w:rPr>
        <w:t>Faculty’s</w:t>
      </w:r>
      <w:proofErr w:type="gramEnd"/>
      <w:r w:rsidRPr="005C2142">
        <w:rPr>
          <w:rFonts w:ascii="Calibri" w:hAnsi="Calibri" w:cs="Times New Roman"/>
          <w:color w:val="auto"/>
          <w:sz w:val="21"/>
          <w:szCs w:val="21"/>
          <w:lang w:val="en-AU" w:eastAsia="en-AU"/>
        </w:rPr>
        <w:t xml:space="preserve"> self-evaluation report and its enhancement proposals for the program(s) under review and make evidence-based recommendations that address the review aims.</w:t>
      </w:r>
    </w:p>
    <w:p w14:paraId="3B56EE5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aims of the program review are as follows:</w:t>
      </w:r>
    </w:p>
    <w:p w14:paraId="1101724B" w14:textId="77777777" w:rsidR="005C2142" w:rsidRPr="005C2142" w:rsidRDefault="005C2142" w:rsidP="00625DBC">
      <w:pPr>
        <w:numPr>
          <w:ilvl w:val="0"/>
          <w:numId w:val="24"/>
        </w:numPr>
        <w:spacing w:after="160" w:line="300" w:lineRule="auto"/>
        <w:ind w:right="143" w:hanging="51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t>General</w:t>
      </w:r>
    </w:p>
    <w:p w14:paraId="7F8A6B0D" w14:textId="77777777" w:rsidR="005C2142" w:rsidRPr="005C2142" w:rsidRDefault="005C2142" w:rsidP="00625DBC">
      <w:pPr>
        <w:numPr>
          <w:ilvl w:val="1"/>
          <w:numId w:val="24"/>
        </w:numPr>
        <w:spacing w:after="160" w:line="300" w:lineRule="auto"/>
        <w:ind w:right="143" w:hanging="51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and acknowledge best practice and successful outcomes.</w:t>
      </w:r>
    </w:p>
    <w:p w14:paraId="7C39E0AF" w14:textId="77777777" w:rsidR="005C2142" w:rsidRPr="005C2142" w:rsidRDefault="005C2142" w:rsidP="00625DBC">
      <w:pPr>
        <w:numPr>
          <w:ilvl w:val="1"/>
          <w:numId w:val="24"/>
        </w:numPr>
        <w:spacing w:after="160" w:line="300" w:lineRule="auto"/>
        <w:ind w:right="143" w:hanging="513"/>
        <w:rPr>
          <w:rFonts w:ascii="Calibri" w:hAnsi="Calibri" w:cs="Times New Roman"/>
          <w:color w:val="auto"/>
          <w:sz w:val="21"/>
          <w:szCs w:val="21"/>
          <w:lang w:val="en-AU" w:eastAsia="en-AU"/>
        </w:rPr>
      </w:pPr>
      <w:bookmarkStart w:id="0" w:name="_Hlk122453041"/>
      <w:r w:rsidRPr="005C2142">
        <w:rPr>
          <w:rFonts w:ascii="Calibri" w:hAnsi="Calibri" w:cs="Times New Roman"/>
          <w:color w:val="auto"/>
          <w:sz w:val="21"/>
          <w:szCs w:val="21"/>
          <w:lang w:val="en-AU" w:eastAsia="en-AU"/>
        </w:rPr>
        <w:t>To examine future demand and growth opportunities for the programs (based on available evidence and in relation to domestic and international markets).</w:t>
      </w:r>
    </w:p>
    <w:p w14:paraId="536D894B" w14:textId="186D015B" w:rsidR="005C2142" w:rsidRPr="005C2142" w:rsidRDefault="005C2142" w:rsidP="00625DBC">
      <w:pPr>
        <w:numPr>
          <w:ilvl w:val="1"/>
          <w:numId w:val="24"/>
        </w:numPr>
        <w:spacing w:after="160" w:line="300" w:lineRule="auto"/>
        <w:ind w:right="143" w:hanging="513"/>
        <w:rPr>
          <w:rFonts w:ascii="Calibri" w:hAnsi="Calibri" w:cs="Times New Roman"/>
          <w:color w:val="auto"/>
          <w:sz w:val="21"/>
          <w:szCs w:val="21"/>
          <w:lang w:val="en-AU" w:eastAsia="en-AU"/>
        </w:rPr>
      </w:pPr>
      <w:bookmarkStart w:id="1" w:name="_Hlk122453079"/>
      <w:bookmarkEnd w:id="0"/>
      <w:r w:rsidRPr="005C2142">
        <w:rPr>
          <w:rFonts w:ascii="Calibri" w:hAnsi="Calibri" w:cs="Times New Roman"/>
          <w:color w:val="auto"/>
          <w:sz w:val="21"/>
          <w:szCs w:val="21"/>
          <w:lang w:val="en-AU" w:eastAsia="en-AU"/>
        </w:rPr>
        <w:t xml:space="preserve">To identify opportunities and priorities for development and enhancement, including for curriculum renewal and enhancement </w:t>
      </w:r>
      <w:r w:rsidR="00A524C7">
        <w:rPr>
          <w:rFonts w:ascii="Calibri" w:hAnsi="Calibri" w:cs="Times New Roman"/>
          <w:color w:val="auto"/>
          <w:sz w:val="21"/>
          <w:szCs w:val="21"/>
          <w:lang w:val="en-AU" w:eastAsia="en-AU"/>
        </w:rPr>
        <w:t xml:space="preserve">or optimisation </w:t>
      </w:r>
      <w:r w:rsidRPr="005C2142">
        <w:rPr>
          <w:rFonts w:ascii="Calibri" w:hAnsi="Calibri" w:cs="Times New Roman"/>
          <w:color w:val="auto"/>
          <w:sz w:val="21"/>
          <w:szCs w:val="21"/>
          <w:lang w:val="en-AU" w:eastAsia="en-AU"/>
        </w:rPr>
        <w:t xml:space="preserve">of delivery, </w:t>
      </w:r>
      <w:r w:rsidR="00A524C7">
        <w:rPr>
          <w:rFonts w:ascii="Calibri" w:hAnsi="Calibri" w:cs="Times New Roman"/>
          <w:color w:val="auto"/>
          <w:sz w:val="21"/>
          <w:szCs w:val="21"/>
          <w:lang w:val="en-AU" w:eastAsia="en-AU"/>
        </w:rPr>
        <w:t>including</w:t>
      </w:r>
      <w:r w:rsidRPr="005C2142">
        <w:rPr>
          <w:rFonts w:ascii="Calibri" w:hAnsi="Calibri" w:cs="Times New Roman"/>
          <w:color w:val="auto"/>
          <w:sz w:val="21"/>
          <w:szCs w:val="21"/>
          <w:lang w:val="en-AU" w:eastAsia="en-AU"/>
        </w:rPr>
        <w:t xml:space="preserve"> </w:t>
      </w:r>
      <w:r w:rsidR="00A524C7" w:rsidRPr="00A524C7">
        <w:rPr>
          <w:rFonts w:ascii="Calibri" w:hAnsi="Calibri" w:cs="Times New Roman"/>
          <w:color w:val="auto"/>
          <w:sz w:val="21"/>
          <w:szCs w:val="21"/>
          <w:lang w:val="en-AU" w:eastAsia="en-AU"/>
        </w:rPr>
        <w:t xml:space="preserve">a consideration of the viability and sustainability of programs and courses, </w:t>
      </w:r>
      <w:r w:rsidRPr="005C2142">
        <w:rPr>
          <w:rFonts w:ascii="Calibri" w:hAnsi="Calibri" w:cs="Times New Roman"/>
          <w:color w:val="auto"/>
          <w:sz w:val="21"/>
          <w:szCs w:val="21"/>
          <w:lang w:val="en-AU" w:eastAsia="en-AU"/>
        </w:rPr>
        <w:t>student recruitment, experience, engagement, satisfaction,</w:t>
      </w:r>
      <w:r w:rsidR="00A524C7">
        <w:rPr>
          <w:rFonts w:ascii="Calibri" w:hAnsi="Calibri" w:cs="Times New Roman"/>
          <w:color w:val="auto"/>
          <w:sz w:val="21"/>
          <w:szCs w:val="21"/>
          <w:lang w:val="en-AU" w:eastAsia="en-AU"/>
        </w:rPr>
        <w:t xml:space="preserve"> relevance,</w:t>
      </w:r>
      <w:r w:rsidRPr="005C2142">
        <w:rPr>
          <w:rFonts w:ascii="Calibri" w:hAnsi="Calibri" w:cs="Times New Roman"/>
          <w:color w:val="auto"/>
          <w:sz w:val="21"/>
          <w:szCs w:val="21"/>
          <w:lang w:val="en-AU" w:eastAsia="en-AU"/>
        </w:rPr>
        <w:t xml:space="preserve"> retention, academic performance, graduate </w:t>
      </w:r>
      <w:proofErr w:type="gramStart"/>
      <w:r w:rsidRPr="005C2142">
        <w:rPr>
          <w:rFonts w:ascii="Calibri" w:hAnsi="Calibri" w:cs="Times New Roman"/>
          <w:color w:val="auto"/>
          <w:sz w:val="21"/>
          <w:szCs w:val="21"/>
          <w:lang w:val="en-AU" w:eastAsia="en-AU"/>
        </w:rPr>
        <w:t>destinations</w:t>
      </w:r>
      <w:proofErr w:type="gramEnd"/>
      <w:r w:rsidRPr="005C2142">
        <w:rPr>
          <w:rFonts w:ascii="Calibri" w:hAnsi="Calibri" w:cs="Times New Roman"/>
          <w:color w:val="auto"/>
          <w:sz w:val="21"/>
          <w:szCs w:val="21"/>
          <w:lang w:val="en-AU" w:eastAsia="en-AU"/>
        </w:rPr>
        <w:t xml:space="preserve"> and employer satisfaction.</w:t>
      </w:r>
    </w:p>
    <w:bookmarkEnd w:id="1"/>
    <w:p w14:paraId="2C38D57E" w14:textId="648EF3F0" w:rsidR="005C2142" w:rsidRDefault="005C2142" w:rsidP="00625DBC">
      <w:pPr>
        <w:numPr>
          <w:ilvl w:val="1"/>
          <w:numId w:val="24"/>
        </w:numPr>
        <w:spacing w:after="160" w:line="300" w:lineRule="auto"/>
        <w:ind w:right="143" w:hanging="51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To assess progress since the previous review (if applicable) with reference to the outcomes of the implementation plan for the recommendations of that review. </w:t>
      </w:r>
    </w:p>
    <w:p w14:paraId="1B63150C" w14:textId="77777777" w:rsidR="005C2142" w:rsidRPr="005C2142" w:rsidRDefault="005C2142" w:rsidP="00625DBC">
      <w:pPr>
        <w:numPr>
          <w:ilvl w:val="0"/>
          <w:numId w:val="24"/>
        </w:numPr>
        <w:spacing w:after="160" w:line="300" w:lineRule="auto"/>
        <w:ind w:right="143" w:hanging="51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t>Curriculum Quality and Student Experience</w:t>
      </w:r>
    </w:p>
    <w:p w14:paraId="432B31C5" w14:textId="77777777" w:rsidR="005C2142" w:rsidRPr="005C2142" w:rsidRDefault="005C2142" w:rsidP="00625DBC">
      <w:pPr>
        <w:numPr>
          <w:ilvl w:val="1"/>
          <w:numId w:val="24"/>
        </w:numPr>
        <w:spacing w:after="0" w:line="300" w:lineRule="auto"/>
        <w:ind w:right="143" w:hanging="51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To evaluate the design, content, </w:t>
      </w:r>
      <w:proofErr w:type="gramStart"/>
      <w:r w:rsidRPr="005C2142">
        <w:rPr>
          <w:rFonts w:ascii="Calibri" w:hAnsi="Calibri" w:cs="Times New Roman"/>
          <w:color w:val="auto"/>
          <w:sz w:val="21"/>
          <w:szCs w:val="21"/>
          <w:lang w:val="en-AU" w:eastAsia="en-AU"/>
        </w:rPr>
        <w:t>quality</w:t>
      </w:r>
      <w:proofErr w:type="gramEnd"/>
      <w:r w:rsidRPr="005C2142">
        <w:rPr>
          <w:rFonts w:ascii="Calibri" w:hAnsi="Calibri" w:cs="Times New Roman"/>
          <w:color w:val="auto"/>
          <w:sz w:val="21"/>
          <w:szCs w:val="21"/>
          <w:lang w:val="en-AU" w:eastAsia="en-AU"/>
        </w:rPr>
        <w:t xml:space="preserve"> and overall coherence of the program curriculum, including expected learning outcomes, methods of assessment, structure, and modes of delivery (HESF 1.4, 3.1, 5.3.2, 5.3.4), in relation to: </w:t>
      </w:r>
    </w:p>
    <w:p w14:paraId="6B21262F" w14:textId="2815EC39"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relevant University strategies and policies</w:t>
      </w:r>
      <w:r w:rsidR="004D6A25">
        <w:rPr>
          <w:rFonts w:ascii="Calibri" w:hAnsi="Calibri" w:cs="Times New Roman"/>
          <w:color w:val="auto"/>
          <w:sz w:val="21"/>
          <w:szCs w:val="21"/>
          <w:lang w:val="en-AU" w:eastAsia="en-AU"/>
        </w:rPr>
        <w:t xml:space="preserve"> </w:t>
      </w:r>
      <w:r w:rsidR="004D6A25" w:rsidRPr="004D6A25">
        <w:rPr>
          <w:rFonts w:ascii="Calibri" w:hAnsi="Calibri" w:cs="Times New Roman"/>
          <w:color w:val="auto"/>
          <w:sz w:val="21"/>
          <w:szCs w:val="21"/>
          <w:lang w:val="en-AU" w:eastAsia="en-AU"/>
        </w:rPr>
        <w:t>(including the Academic Stream Organisational Sustainability Project</w:t>
      </w:r>
      <w:proofErr w:type="gramStart"/>
      <w:r w:rsidR="004D6A25" w:rsidRPr="004D6A25">
        <w:rPr>
          <w:rFonts w:ascii="Calibri" w:hAnsi="Calibri" w:cs="Times New Roman"/>
          <w:color w:val="auto"/>
          <w:sz w:val="21"/>
          <w:szCs w:val="21"/>
          <w:lang w:val="en-AU" w:eastAsia="en-AU"/>
        </w:rPr>
        <w:t>)</w:t>
      </w:r>
      <w:r w:rsidRPr="005C2142">
        <w:rPr>
          <w:rFonts w:ascii="Calibri" w:hAnsi="Calibri" w:cs="Times New Roman"/>
          <w:color w:val="auto"/>
          <w:sz w:val="21"/>
          <w:szCs w:val="21"/>
          <w:lang w:val="en-AU" w:eastAsia="en-AU"/>
        </w:rPr>
        <w:t>;</w:t>
      </w:r>
      <w:proofErr w:type="gramEnd"/>
    </w:p>
    <w:p w14:paraId="71C2CE2F"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w:t>
      </w:r>
      <w:hyperlink r:id="rId8" w:history="1">
        <w:r w:rsidRPr="005C2142">
          <w:rPr>
            <w:rStyle w:val="Hyperlink"/>
            <w:rFonts w:ascii="Calibri" w:hAnsi="Calibri" w:cs="Times New Roman"/>
            <w:sz w:val="21"/>
            <w:szCs w:val="21"/>
            <w:lang w:val="en-AU" w:eastAsia="en-AU"/>
          </w:rPr>
          <w:t>Australian Qualification Framework</w:t>
        </w:r>
      </w:hyperlink>
      <w:r w:rsidRPr="005C2142">
        <w:rPr>
          <w:rFonts w:ascii="Calibri" w:hAnsi="Calibri" w:cs="Times New Roman"/>
          <w:color w:val="auto"/>
          <w:sz w:val="21"/>
          <w:szCs w:val="21"/>
          <w:lang w:val="en-AU" w:eastAsia="en-AU"/>
        </w:rPr>
        <w:t>;</w:t>
      </w:r>
    </w:p>
    <w:p w14:paraId="596CDDAE"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University’s </w:t>
      </w:r>
      <w:hyperlink r:id="rId9" w:history="1">
        <w:r w:rsidRPr="005C2142">
          <w:rPr>
            <w:rStyle w:val="Hyperlink"/>
            <w:rFonts w:ascii="Calibri" w:hAnsi="Calibri" w:cs="Times New Roman"/>
            <w:sz w:val="21"/>
            <w:szCs w:val="21"/>
            <w:lang w:val="en-AU" w:eastAsia="en-AU"/>
          </w:rPr>
          <w:t>Graduate Attributes</w:t>
        </w:r>
      </w:hyperlink>
      <w:r w:rsidRPr="005C2142">
        <w:rPr>
          <w:rFonts w:ascii="Calibri" w:hAnsi="Calibri" w:cs="Times New Roman"/>
          <w:color w:val="auto"/>
          <w:sz w:val="21"/>
          <w:szCs w:val="21"/>
          <w:lang w:val="en-AU" w:eastAsia="en-AU"/>
        </w:rPr>
        <w:t>;</w:t>
      </w:r>
    </w:p>
    <w:p w14:paraId="408138BF"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accreditation by professional statutory and regulatory bodies, where </w:t>
      </w:r>
      <w:proofErr w:type="gramStart"/>
      <w:r w:rsidRPr="005C2142">
        <w:rPr>
          <w:rFonts w:ascii="Calibri" w:hAnsi="Calibri" w:cs="Times New Roman"/>
          <w:color w:val="auto"/>
          <w:sz w:val="21"/>
          <w:szCs w:val="21"/>
          <w:lang w:val="en-AU" w:eastAsia="en-AU"/>
        </w:rPr>
        <w:t>applicable;</w:t>
      </w:r>
      <w:proofErr w:type="gramEnd"/>
      <w:r w:rsidRPr="005C2142">
        <w:rPr>
          <w:rFonts w:ascii="Calibri" w:hAnsi="Calibri" w:cs="Times New Roman"/>
          <w:color w:val="auto"/>
          <w:sz w:val="21"/>
          <w:szCs w:val="21"/>
          <w:lang w:val="en-AU" w:eastAsia="en-AU"/>
        </w:rPr>
        <w:t xml:space="preserve"> </w:t>
      </w:r>
    </w:p>
    <w:p w14:paraId="386ADDBD"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lastRenderedPageBreak/>
        <w:t xml:space="preserve">national and international discipline </w:t>
      </w:r>
      <w:proofErr w:type="gramStart"/>
      <w:r w:rsidRPr="005C2142">
        <w:rPr>
          <w:rFonts w:ascii="Calibri" w:hAnsi="Calibri" w:cs="Times New Roman"/>
          <w:color w:val="auto"/>
          <w:sz w:val="21"/>
          <w:szCs w:val="21"/>
          <w:lang w:val="en-AU" w:eastAsia="en-AU"/>
        </w:rPr>
        <w:t>trends;</w:t>
      </w:r>
      <w:proofErr w:type="gramEnd"/>
      <w:r w:rsidRPr="005C2142">
        <w:rPr>
          <w:rFonts w:ascii="Calibri" w:hAnsi="Calibri" w:cs="Times New Roman"/>
          <w:color w:val="auto"/>
          <w:sz w:val="21"/>
          <w:szCs w:val="21"/>
          <w:lang w:val="en-AU" w:eastAsia="en-AU"/>
        </w:rPr>
        <w:t xml:space="preserve"> </w:t>
      </w:r>
    </w:p>
    <w:p w14:paraId="76C97A24"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changing needs of stakeholders, including students, community and employers/</w:t>
      </w:r>
      <w:proofErr w:type="gramStart"/>
      <w:r w:rsidRPr="005C2142">
        <w:rPr>
          <w:rFonts w:ascii="Calibri" w:hAnsi="Calibri" w:cs="Times New Roman"/>
          <w:color w:val="auto"/>
          <w:sz w:val="21"/>
          <w:szCs w:val="21"/>
          <w:lang w:val="en-AU" w:eastAsia="en-AU"/>
        </w:rPr>
        <w:t>industry;</w:t>
      </w:r>
      <w:proofErr w:type="gramEnd"/>
      <w:r w:rsidRPr="005C2142">
        <w:rPr>
          <w:rFonts w:ascii="Calibri" w:hAnsi="Calibri" w:cs="Times New Roman"/>
          <w:color w:val="auto"/>
          <w:sz w:val="21"/>
          <w:szCs w:val="21"/>
          <w:lang w:val="en-AU" w:eastAsia="en-AU"/>
        </w:rPr>
        <w:t xml:space="preserve"> </w:t>
      </w:r>
    </w:p>
    <w:p w14:paraId="2A5FB928"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any identified risks to the quality of the </w:t>
      </w:r>
      <w:proofErr w:type="gramStart"/>
      <w:r w:rsidRPr="005C2142">
        <w:rPr>
          <w:rFonts w:ascii="Calibri" w:hAnsi="Calibri" w:cs="Times New Roman"/>
          <w:color w:val="auto"/>
          <w:sz w:val="21"/>
          <w:szCs w:val="21"/>
          <w:lang w:val="en-AU" w:eastAsia="en-AU"/>
        </w:rPr>
        <w:t>program;</w:t>
      </w:r>
      <w:proofErr w:type="gramEnd"/>
    </w:p>
    <w:p w14:paraId="354EF399"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Program Learning </w:t>
      </w:r>
      <w:proofErr w:type="gramStart"/>
      <w:r w:rsidRPr="005C2142">
        <w:rPr>
          <w:rFonts w:ascii="Calibri" w:hAnsi="Calibri" w:cs="Times New Roman"/>
          <w:color w:val="auto"/>
          <w:sz w:val="21"/>
          <w:szCs w:val="21"/>
          <w:lang w:val="en-AU" w:eastAsia="en-AU"/>
        </w:rPr>
        <w:t>Outcomes;</w:t>
      </w:r>
      <w:proofErr w:type="gramEnd"/>
    </w:p>
    <w:p w14:paraId="30E3F3AC"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appropriateness and effectiveness of teaching methods and methodologies to deliver the aims and objectives of the </w:t>
      </w:r>
      <w:proofErr w:type="gramStart"/>
      <w:r w:rsidRPr="005C2142">
        <w:rPr>
          <w:rFonts w:ascii="Calibri" w:hAnsi="Calibri" w:cs="Times New Roman"/>
          <w:color w:val="auto"/>
          <w:sz w:val="21"/>
          <w:szCs w:val="21"/>
          <w:lang w:val="en-AU" w:eastAsia="en-AU"/>
        </w:rPr>
        <w:t>program;</w:t>
      </w:r>
      <w:proofErr w:type="gramEnd"/>
    </w:p>
    <w:p w14:paraId="3407E514"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students’ achievement of learning </w:t>
      </w:r>
      <w:proofErr w:type="gramStart"/>
      <w:r w:rsidRPr="005C2142">
        <w:rPr>
          <w:rFonts w:ascii="Calibri" w:hAnsi="Calibri" w:cs="Times New Roman"/>
          <w:color w:val="auto"/>
          <w:sz w:val="21"/>
          <w:szCs w:val="21"/>
          <w:lang w:val="en-AU" w:eastAsia="en-AU"/>
        </w:rPr>
        <w:t>outcomes;</w:t>
      </w:r>
      <w:proofErr w:type="gramEnd"/>
    </w:p>
    <w:p w14:paraId="2DEBF0B5" w14:textId="77777777" w:rsidR="005C2142" w:rsidRPr="005C2142" w:rsidRDefault="005C2142" w:rsidP="00625DBC">
      <w:pPr>
        <w:numPr>
          <w:ilvl w:val="0"/>
          <w:numId w:val="22"/>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graduate outcomes and employer satisfaction; and</w:t>
      </w:r>
    </w:p>
    <w:p w14:paraId="4F7E0B52" w14:textId="52F94055" w:rsidR="005C2142" w:rsidRPr="005C2142" w:rsidRDefault="005C2142" w:rsidP="00625DBC">
      <w:pPr>
        <w:numPr>
          <w:ilvl w:val="0"/>
          <w:numId w:val="22"/>
        </w:numPr>
        <w:spacing w:after="16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external referencing of performance and outcomes against comparable programs.</w:t>
      </w:r>
    </w:p>
    <w:p w14:paraId="31853224" w14:textId="77777777" w:rsidR="005C2142" w:rsidRPr="005C2142" w:rsidRDefault="005C2142" w:rsidP="00625DBC">
      <w:pPr>
        <w:numPr>
          <w:ilvl w:val="1"/>
          <w:numId w:val="24"/>
        </w:numPr>
        <w:spacing w:after="0" w:line="300" w:lineRule="auto"/>
        <w:ind w:right="143" w:hanging="51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opportunities for enhancement of student engagement and success, considering:</w:t>
      </w:r>
    </w:p>
    <w:p w14:paraId="5DE15163" w14:textId="77777777" w:rsidR="005C2142" w:rsidRPr="005C2142" w:rsidRDefault="005C2142" w:rsidP="00625DBC">
      <w:pPr>
        <w:numPr>
          <w:ilvl w:val="2"/>
          <w:numId w:val="24"/>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development and innovation in learning and </w:t>
      </w:r>
      <w:proofErr w:type="gramStart"/>
      <w:r w:rsidRPr="005C2142">
        <w:rPr>
          <w:rFonts w:ascii="Calibri" w:hAnsi="Calibri" w:cs="Times New Roman"/>
          <w:color w:val="auto"/>
          <w:sz w:val="21"/>
          <w:szCs w:val="21"/>
          <w:lang w:val="en-AU" w:eastAsia="en-AU"/>
        </w:rPr>
        <w:t>teaching;</w:t>
      </w:r>
      <w:proofErr w:type="gramEnd"/>
    </w:p>
    <w:p w14:paraId="27FC39A7" w14:textId="77777777" w:rsidR="005C2142" w:rsidRPr="005C2142" w:rsidRDefault="005C2142" w:rsidP="00625DBC">
      <w:pPr>
        <w:numPr>
          <w:ilvl w:val="2"/>
          <w:numId w:val="24"/>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academic aspects of student orientation (HESF 1.3</w:t>
      </w:r>
      <w:proofErr w:type="gramStart"/>
      <w:r w:rsidRPr="005C2142">
        <w:rPr>
          <w:rFonts w:ascii="Calibri" w:hAnsi="Calibri" w:cs="Times New Roman"/>
          <w:color w:val="auto"/>
          <w:sz w:val="21"/>
          <w:szCs w:val="21"/>
          <w:lang w:val="en-AU" w:eastAsia="en-AU"/>
        </w:rPr>
        <w:t>);</w:t>
      </w:r>
      <w:proofErr w:type="gramEnd"/>
    </w:p>
    <w:p w14:paraId="123C8AB8" w14:textId="77777777" w:rsidR="005C2142" w:rsidRPr="005C2142" w:rsidRDefault="005C2142" w:rsidP="00625DBC">
      <w:pPr>
        <w:numPr>
          <w:ilvl w:val="2"/>
          <w:numId w:val="24"/>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continued transition and progression support, especially in the first year (HESF 1.3; 3.3.4</w:t>
      </w:r>
      <w:proofErr w:type="gramStart"/>
      <w:r w:rsidRPr="005C2142">
        <w:rPr>
          <w:rFonts w:ascii="Calibri" w:hAnsi="Calibri" w:cs="Times New Roman"/>
          <w:color w:val="auto"/>
          <w:sz w:val="21"/>
          <w:szCs w:val="21"/>
          <w:lang w:val="en-AU" w:eastAsia="en-AU"/>
        </w:rPr>
        <w:t>);</w:t>
      </w:r>
      <w:proofErr w:type="gramEnd"/>
    </w:p>
    <w:p w14:paraId="37A28086" w14:textId="77777777" w:rsidR="005C2142" w:rsidRPr="005C2142" w:rsidRDefault="005C2142" w:rsidP="00625DBC">
      <w:pPr>
        <w:numPr>
          <w:ilvl w:val="2"/>
          <w:numId w:val="24"/>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adequacy and transparency of information provided to prospective students and current students, and effectiveness of communications with students (HESF 7.2); and</w:t>
      </w:r>
    </w:p>
    <w:p w14:paraId="702959B0" w14:textId="33DA263A" w:rsidR="005C2142" w:rsidRPr="005C2142" w:rsidRDefault="005C2142" w:rsidP="00625DBC">
      <w:pPr>
        <w:numPr>
          <w:ilvl w:val="2"/>
          <w:numId w:val="24"/>
        </w:numPr>
        <w:spacing w:after="16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performance against internal targets and benchmarked indicators relating to student satisfaction, equity, diversity, </w:t>
      </w:r>
      <w:proofErr w:type="gramStart"/>
      <w:r w:rsidRPr="005C2142">
        <w:rPr>
          <w:rFonts w:ascii="Calibri" w:hAnsi="Calibri" w:cs="Times New Roman"/>
          <w:color w:val="auto"/>
          <w:sz w:val="21"/>
          <w:szCs w:val="21"/>
          <w:lang w:val="en-AU" w:eastAsia="en-AU"/>
        </w:rPr>
        <w:t>retention</w:t>
      </w:r>
      <w:proofErr w:type="gramEnd"/>
      <w:r w:rsidRPr="005C2142">
        <w:rPr>
          <w:rFonts w:ascii="Calibri" w:hAnsi="Calibri" w:cs="Times New Roman"/>
          <w:color w:val="auto"/>
          <w:sz w:val="21"/>
          <w:szCs w:val="21"/>
          <w:lang w:val="en-AU" w:eastAsia="en-AU"/>
        </w:rPr>
        <w:t xml:space="preserve"> and progression, and </w:t>
      </w:r>
      <w:r w:rsidR="005A20AC">
        <w:rPr>
          <w:rFonts w:ascii="Calibri" w:hAnsi="Calibri" w:cs="Times New Roman"/>
          <w:color w:val="auto"/>
          <w:sz w:val="21"/>
          <w:szCs w:val="21"/>
          <w:lang w:val="en-AU" w:eastAsia="en-AU"/>
        </w:rPr>
        <w:t xml:space="preserve">to </w:t>
      </w:r>
      <w:r w:rsidRPr="005C2142">
        <w:rPr>
          <w:rFonts w:ascii="Calibri" w:hAnsi="Calibri" w:cs="Times New Roman"/>
          <w:color w:val="auto"/>
          <w:sz w:val="21"/>
          <w:szCs w:val="21"/>
          <w:lang w:val="en-AU" w:eastAsia="en-AU"/>
        </w:rPr>
        <w:t>graduate employment destinations and graduate employer satisfaction (HESF 5.3.4).</w:t>
      </w:r>
    </w:p>
    <w:p w14:paraId="7D6299F0" w14:textId="77777777" w:rsidR="005C2142" w:rsidRPr="005C2142" w:rsidRDefault="005C2142" w:rsidP="00625DBC">
      <w:pPr>
        <w:numPr>
          <w:ilvl w:val="1"/>
          <w:numId w:val="24"/>
        </w:numPr>
        <w:spacing w:after="160" w:line="300" w:lineRule="auto"/>
        <w:ind w:right="143" w:hanging="51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assess the coherence and quality of Service Teaching provision into the program(s).</w:t>
      </w:r>
    </w:p>
    <w:p w14:paraId="4AB886B2" w14:textId="77777777" w:rsidR="005C2142" w:rsidRPr="005C2142" w:rsidRDefault="005C2142" w:rsidP="00625DBC">
      <w:pPr>
        <w:numPr>
          <w:ilvl w:val="1"/>
          <w:numId w:val="24"/>
        </w:numPr>
        <w:spacing w:after="160" w:line="300" w:lineRule="auto"/>
        <w:ind w:right="143" w:hanging="51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 To ensure the efficacy of pathways articulating into the program (HESF 5.4).</w:t>
      </w:r>
    </w:p>
    <w:p w14:paraId="36180B92" w14:textId="77777777" w:rsidR="005C2142" w:rsidRPr="005C2142" w:rsidRDefault="005C2142" w:rsidP="00625DBC">
      <w:pPr>
        <w:numPr>
          <w:ilvl w:val="0"/>
          <w:numId w:val="24"/>
        </w:numPr>
        <w:spacing w:after="160" w:line="300" w:lineRule="auto"/>
        <w:ind w:right="143" w:hanging="51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Governance</w:t>
      </w:r>
    </w:p>
    <w:p w14:paraId="5380B408" w14:textId="77777777" w:rsidR="005C2142" w:rsidRPr="005C2142" w:rsidRDefault="005C2142" w:rsidP="00625DBC">
      <w:pPr>
        <w:numPr>
          <w:ilvl w:val="1"/>
          <w:numId w:val="24"/>
        </w:numPr>
        <w:spacing w:after="160" w:line="300" w:lineRule="auto"/>
        <w:ind w:right="143" w:hanging="51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evaluate the quality of program governance, management, and enhancement processes, including approaches to working with students as partners and to external engagement (HESF 5.3.4, 5.3.5, 5.3.7.</w:t>
      </w:r>
    </w:p>
    <w:p w14:paraId="0B878880" w14:textId="77777777" w:rsidR="005C2142" w:rsidRPr="005C2142" w:rsidRDefault="005C2142" w:rsidP="00625DBC">
      <w:pPr>
        <w:numPr>
          <w:ilvl w:val="1"/>
          <w:numId w:val="24"/>
        </w:numPr>
        <w:spacing w:after="0" w:line="300" w:lineRule="auto"/>
        <w:ind w:right="143" w:hanging="51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consider Faculty/School governance and management of the program(s) (HESF 5.3.7) and the extent to which these ensure:</w:t>
      </w:r>
    </w:p>
    <w:p w14:paraId="698C580F" w14:textId="77777777" w:rsidR="005C2142" w:rsidRPr="005C2142" w:rsidRDefault="005C2142" w:rsidP="00625DBC">
      <w:pPr>
        <w:numPr>
          <w:ilvl w:val="0"/>
          <w:numId w:val="23"/>
        </w:numPr>
        <w:spacing w:after="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that the structure, content, quality and overall coherence of the program(s) and its courses are developed, </w:t>
      </w:r>
      <w:proofErr w:type="gramStart"/>
      <w:r w:rsidRPr="005C2142">
        <w:rPr>
          <w:rFonts w:ascii="Calibri" w:hAnsi="Calibri" w:cs="Times New Roman"/>
          <w:color w:val="auto"/>
          <w:sz w:val="21"/>
          <w:szCs w:val="21"/>
          <w:lang w:val="en-AU" w:eastAsia="en-AU"/>
        </w:rPr>
        <w:t>evaluated</w:t>
      </w:r>
      <w:proofErr w:type="gramEnd"/>
      <w:r w:rsidRPr="005C2142">
        <w:rPr>
          <w:rFonts w:ascii="Calibri" w:hAnsi="Calibri" w:cs="Times New Roman"/>
          <w:color w:val="auto"/>
          <w:sz w:val="21"/>
          <w:szCs w:val="21"/>
          <w:lang w:val="en-AU" w:eastAsia="en-AU"/>
        </w:rPr>
        <w:t xml:space="preserve"> and enhanced; and </w:t>
      </w:r>
    </w:p>
    <w:p w14:paraId="750B3988" w14:textId="2E796E87" w:rsidR="004D4A22" w:rsidRPr="00EA2ECB" w:rsidRDefault="005C2142" w:rsidP="00625DBC">
      <w:pPr>
        <w:numPr>
          <w:ilvl w:val="0"/>
          <w:numId w:val="23"/>
        </w:numPr>
        <w:spacing w:after="160" w:line="300" w:lineRule="auto"/>
        <w:ind w:left="1560" w:right="143" w:hanging="426"/>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inclusive and systematic participation and input from all relevant stakeholder groups, including internal specialist services, students, </w:t>
      </w:r>
      <w:proofErr w:type="gramStart"/>
      <w:r w:rsidRPr="005C2142">
        <w:rPr>
          <w:rFonts w:ascii="Calibri" w:hAnsi="Calibri" w:cs="Times New Roman"/>
          <w:color w:val="auto"/>
          <w:sz w:val="21"/>
          <w:szCs w:val="21"/>
          <w:lang w:val="en-AU" w:eastAsia="en-AU"/>
        </w:rPr>
        <w:t>alumni</w:t>
      </w:r>
      <w:proofErr w:type="gramEnd"/>
      <w:r w:rsidRPr="005C2142">
        <w:rPr>
          <w:rFonts w:ascii="Calibri" w:hAnsi="Calibri" w:cs="Times New Roman"/>
          <w:color w:val="auto"/>
          <w:sz w:val="21"/>
          <w:szCs w:val="21"/>
          <w:lang w:val="en-AU" w:eastAsia="en-AU"/>
        </w:rPr>
        <w:t xml:space="preserve"> and employers.</w:t>
      </w:r>
    </w:p>
    <w:p w14:paraId="1CCEE39B" w14:textId="77777777" w:rsidR="005C2142" w:rsidRPr="005C2142" w:rsidRDefault="005C2142" w:rsidP="00625DBC">
      <w:pPr>
        <w:numPr>
          <w:ilvl w:val="0"/>
          <w:numId w:val="24"/>
        </w:numPr>
        <w:spacing w:after="160" w:line="300" w:lineRule="auto"/>
        <w:ind w:right="143" w:hanging="51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Resources</w:t>
      </w:r>
    </w:p>
    <w:p w14:paraId="47FE732C" w14:textId="77777777" w:rsidR="005C2142" w:rsidRPr="005C2142" w:rsidRDefault="005C2142" w:rsidP="00625DBC">
      <w:pPr>
        <w:numPr>
          <w:ilvl w:val="1"/>
          <w:numId w:val="24"/>
        </w:numPr>
        <w:spacing w:after="160" w:line="300" w:lineRule="auto"/>
        <w:ind w:right="143" w:hanging="513"/>
        <w:rPr>
          <w:rFonts w:ascii="Calibri" w:hAnsi="Calibri" w:cs="Times New Roman"/>
          <w:color w:val="auto"/>
          <w:sz w:val="21"/>
          <w:szCs w:val="21"/>
          <w:lang w:val="en-AU" w:eastAsia="en-AU"/>
        </w:rPr>
      </w:pPr>
      <w:bookmarkStart w:id="2" w:name="_Hlk122452392"/>
      <w:r w:rsidRPr="005C2142">
        <w:rPr>
          <w:rFonts w:ascii="Calibri" w:hAnsi="Calibri" w:cs="Times New Roman"/>
          <w:color w:val="auto"/>
          <w:sz w:val="21"/>
          <w:szCs w:val="21"/>
          <w:lang w:val="en-AU" w:eastAsia="en-AU"/>
        </w:rPr>
        <w:t>To consider the use of human, physical and financial resources in delivering the program and identify areas where resources and support might be needed to optimise future performance and enable enhancement priorities to be addressed, noting that decisions on the provision of additional resources remain at the University’s discretion (HESF 3.3).</w:t>
      </w:r>
      <w:bookmarkEnd w:id="2"/>
    </w:p>
    <w:p w14:paraId="07952BDD"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36AC7DAF" w14:textId="6F696C16" w:rsidR="002B13D8" w:rsidRPr="00625DBC" w:rsidRDefault="005C2142" w:rsidP="00625DBC">
      <w:pPr>
        <w:spacing w:after="160" w:line="300" w:lineRule="auto"/>
        <w:ind w:left="284" w:right="143"/>
        <w:rPr>
          <w:rFonts w:ascii="Calibri" w:hAnsi="Calibri" w:cs="Times New Roman"/>
          <w:i/>
          <w:color w:val="auto"/>
          <w:sz w:val="21"/>
          <w:szCs w:val="21"/>
          <w:lang w:val="en-AU" w:eastAsia="en-AU"/>
        </w:rPr>
      </w:pPr>
      <w:r w:rsidRPr="005C2142">
        <w:rPr>
          <w:rFonts w:ascii="Calibri" w:hAnsi="Calibri" w:cs="Times New Roman"/>
          <w:iCs/>
          <w:color w:val="auto"/>
          <w:sz w:val="21"/>
          <w:szCs w:val="21"/>
          <w:lang w:val="en-AU" w:eastAsia="en-AU"/>
        </w:rPr>
        <w:t>* The Terms of Reference refer to the relevant Domains in the</w:t>
      </w:r>
      <w:r w:rsidRPr="005C2142">
        <w:rPr>
          <w:rFonts w:ascii="Calibri" w:hAnsi="Calibri" w:cs="Times New Roman"/>
          <w:i/>
          <w:color w:val="auto"/>
          <w:sz w:val="21"/>
          <w:szCs w:val="21"/>
          <w:lang w:val="en-AU" w:eastAsia="en-AU"/>
        </w:rPr>
        <w:t xml:space="preserve"> </w:t>
      </w:r>
      <w:hyperlink r:id="rId10" w:anchor="_Toc67664724" w:history="1">
        <w:r w:rsidRPr="005C2142">
          <w:rPr>
            <w:rStyle w:val="Hyperlink"/>
            <w:rFonts w:ascii="Calibri" w:hAnsi="Calibri" w:cs="Times New Roman"/>
            <w:i/>
            <w:sz w:val="21"/>
            <w:szCs w:val="21"/>
            <w:lang w:val="en-AU" w:eastAsia="en-AU"/>
          </w:rPr>
          <w:t>Higher Education Standards Framework (Threshold Standards) 2021</w:t>
        </w:r>
      </w:hyperlink>
      <w:r w:rsidRPr="005C2142">
        <w:rPr>
          <w:rFonts w:ascii="Calibri" w:hAnsi="Calibri" w:cs="Times New Roman"/>
          <w:i/>
          <w:color w:val="auto"/>
          <w:sz w:val="21"/>
          <w:szCs w:val="21"/>
          <w:lang w:val="en-AU" w:eastAsia="en-AU"/>
        </w:rPr>
        <w:t xml:space="preserve"> (HESF).</w:t>
      </w:r>
    </w:p>
    <w:sectPr w:rsidR="002B13D8" w:rsidRPr="00625DBC" w:rsidSect="00A57762">
      <w:headerReference w:type="first" r:id="rId11"/>
      <w:pgSz w:w="11909" w:h="16834" w:code="9"/>
      <w:pgMar w:top="1701" w:right="567" w:bottom="1418" w:left="567" w:header="567" w:footer="142" w:gutter="0"/>
      <w:paperSrc w:first="15" w:other="15"/>
      <w:pgBorders w:offsetFrom="page">
        <w:top w:val="single" w:sz="12" w:space="24" w:color="25408F" w:themeColor="accent4"/>
        <w:left w:val="single" w:sz="12" w:space="24" w:color="25408F" w:themeColor="accent4"/>
        <w:bottom w:val="single" w:sz="12" w:space="24" w:color="25408F" w:themeColor="accent4"/>
        <w:right w:val="single" w:sz="12" w:space="24" w:color="25408F" w:themeColor="accent4"/>
      </w:pgBorders>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0528" w14:textId="77777777" w:rsidR="00794ECA" w:rsidRDefault="00794ECA">
      <w:r>
        <w:separator/>
      </w:r>
    </w:p>
  </w:endnote>
  <w:endnote w:type="continuationSeparator" w:id="0">
    <w:p w14:paraId="2B2E15F5" w14:textId="77777777" w:rsidR="00794ECA" w:rsidRDefault="0079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E317" w14:textId="77777777" w:rsidR="00794ECA" w:rsidRDefault="00794ECA">
      <w:r>
        <w:separator/>
      </w:r>
    </w:p>
  </w:footnote>
  <w:footnote w:type="continuationSeparator" w:id="0">
    <w:p w14:paraId="02B11E36" w14:textId="77777777" w:rsidR="00794ECA" w:rsidRDefault="0079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A947" w14:textId="5BCC1882" w:rsidR="002B13D8" w:rsidRDefault="00A57762" w:rsidP="00310239">
    <w:pPr>
      <w:pStyle w:val="Header"/>
      <w:spacing w:after="0"/>
      <w:ind w:left="-397"/>
      <w:jc w:val="left"/>
    </w:pPr>
    <w:r>
      <w:rPr>
        <w:noProof/>
        <w:lang w:val="en-AU" w:eastAsia="en-AU"/>
      </w:rPr>
      <w:drawing>
        <wp:anchor distT="0" distB="0" distL="114300" distR="114300" simplePos="0" relativeHeight="251658240" behindDoc="1" locked="0" layoutInCell="1" allowOverlap="1" wp14:anchorId="4E088A3F" wp14:editId="2D19F5C3">
          <wp:simplePos x="0" y="0"/>
          <wp:positionH relativeFrom="margin">
            <wp:align>left</wp:align>
          </wp:positionH>
          <wp:positionV relativeFrom="paragraph">
            <wp:posOffset>14917</wp:posOffset>
          </wp:positionV>
          <wp:extent cx="2018030" cy="621665"/>
          <wp:effectExtent l="0" t="0" r="127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 w15:restartNumberingAfterBreak="0">
    <w:nsid w:val="176375B2"/>
    <w:multiLevelType w:val="hybridMultilevel"/>
    <w:tmpl w:val="1BEA5574"/>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403EAC"/>
    <w:multiLevelType w:val="multilevel"/>
    <w:tmpl w:val="B57E420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F0718DC"/>
    <w:multiLevelType w:val="hybridMultilevel"/>
    <w:tmpl w:val="3FECCA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99A33A2"/>
    <w:multiLevelType w:val="hybridMultilevel"/>
    <w:tmpl w:val="0AC81380"/>
    <w:lvl w:ilvl="0" w:tplc="1C5C3540">
      <w:start w:val="1"/>
      <w:numFmt w:val="bullet"/>
      <w:pStyle w:val="ListParagraph"/>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EE1309B"/>
    <w:multiLevelType w:val="hybridMultilevel"/>
    <w:tmpl w:val="A61634B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365A5209"/>
    <w:multiLevelType w:val="hybridMultilevel"/>
    <w:tmpl w:val="CAE431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CA54763"/>
    <w:multiLevelType w:val="hybridMultilevel"/>
    <w:tmpl w:val="A5D2001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8504FE8"/>
    <w:multiLevelType w:val="hybridMultilevel"/>
    <w:tmpl w:val="CF24179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63CF505C"/>
    <w:multiLevelType w:val="hybridMultilevel"/>
    <w:tmpl w:val="E54E69EC"/>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C610B46"/>
    <w:multiLevelType w:val="hybridMultilevel"/>
    <w:tmpl w:val="37BE054C"/>
    <w:lvl w:ilvl="0" w:tplc="0C090001">
      <w:start w:val="1"/>
      <w:numFmt w:val="bullet"/>
      <w:lvlText w:val=""/>
      <w:lvlJc w:val="left"/>
      <w:pPr>
        <w:ind w:left="2556" w:hanging="360"/>
      </w:pPr>
      <w:rPr>
        <w:rFonts w:ascii="Symbol" w:hAnsi="Symbol" w:hint="default"/>
      </w:rPr>
    </w:lvl>
    <w:lvl w:ilvl="1" w:tplc="0C090003">
      <w:start w:val="1"/>
      <w:numFmt w:val="bullet"/>
      <w:lvlText w:val="o"/>
      <w:lvlJc w:val="left"/>
      <w:pPr>
        <w:ind w:left="3276" w:hanging="360"/>
      </w:pPr>
      <w:rPr>
        <w:rFonts w:ascii="Courier New" w:hAnsi="Courier New" w:cs="Courier New" w:hint="default"/>
      </w:rPr>
    </w:lvl>
    <w:lvl w:ilvl="2" w:tplc="0C090005" w:tentative="1">
      <w:start w:val="1"/>
      <w:numFmt w:val="bullet"/>
      <w:lvlText w:val=""/>
      <w:lvlJc w:val="left"/>
      <w:pPr>
        <w:ind w:left="3996" w:hanging="360"/>
      </w:pPr>
      <w:rPr>
        <w:rFonts w:ascii="Wingdings" w:hAnsi="Wingdings" w:hint="default"/>
      </w:rPr>
    </w:lvl>
    <w:lvl w:ilvl="3" w:tplc="0C090001" w:tentative="1">
      <w:start w:val="1"/>
      <w:numFmt w:val="bullet"/>
      <w:lvlText w:val=""/>
      <w:lvlJc w:val="left"/>
      <w:pPr>
        <w:ind w:left="4716" w:hanging="360"/>
      </w:pPr>
      <w:rPr>
        <w:rFonts w:ascii="Symbol" w:hAnsi="Symbol" w:hint="default"/>
      </w:rPr>
    </w:lvl>
    <w:lvl w:ilvl="4" w:tplc="0C090003" w:tentative="1">
      <w:start w:val="1"/>
      <w:numFmt w:val="bullet"/>
      <w:lvlText w:val="o"/>
      <w:lvlJc w:val="left"/>
      <w:pPr>
        <w:ind w:left="5436" w:hanging="360"/>
      </w:pPr>
      <w:rPr>
        <w:rFonts w:ascii="Courier New" w:hAnsi="Courier New" w:cs="Courier New" w:hint="default"/>
      </w:rPr>
    </w:lvl>
    <w:lvl w:ilvl="5" w:tplc="0C090005" w:tentative="1">
      <w:start w:val="1"/>
      <w:numFmt w:val="bullet"/>
      <w:lvlText w:val=""/>
      <w:lvlJc w:val="left"/>
      <w:pPr>
        <w:ind w:left="6156" w:hanging="360"/>
      </w:pPr>
      <w:rPr>
        <w:rFonts w:ascii="Wingdings" w:hAnsi="Wingdings" w:hint="default"/>
      </w:rPr>
    </w:lvl>
    <w:lvl w:ilvl="6" w:tplc="0C090001" w:tentative="1">
      <w:start w:val="1"/>
      <w:numFmt w:val="bullet"/>
      <w:lvlText w:val=""/>
      <w:lvlJc w:val="left"/>
      <w:pPr>
        <w:ind w:left="6876" w:hanging="360"/>
      </w:pPr>
      <w:rPr>
        <w:rFonts w:ascii="Symbol" w:hAnsi="Symbol" w:hint="default"/>
      </w:rPr>
    </w:lvl>
    <w:lvl w:ilvl="7" w:tplc="0C090003" w:tentative="1">
      <w:start w:val="1"/>
      <w:numFmt w:val="bullet"/>
      <w:lvlText w:val="o"/>
      <w:lvlJc w:val="left"/>
      <w:pPr>
        <w:ind w:left="7596" w:hanging="360"/>
      </w:pPr>
      <w:rPr>
        <w:rFonts w:ascii="Courier New" w:hAnsi="Courier New" w:cs="Courier New" w:hint="default"/>
      </w:rPr>
    </w:lvl>
    <w:lvl w:ilvl="8" w:tplc="0C090005" w:tentative="1">
      <w:start w:val="1"/>
      <w:numFmt w:val="bullet"/>
      <w:lvlText w:val=""/>
      <w:lvlJc w:val="left"/>
      <w:pPr>
        <w:ind w:left="8316" w:hanging="360"/>
      </w:pPr>
      <w:rPr>
        <w:rFonts w:ascii="Wingdings" w:hAnsi="Wingdings" w:hint="default"/>
      </w:rPr>
    </w:lvl>
  </w:abstractNum>
  <w:abstractNum w:abstractNumId="16" w15:restartNumberingAfterBreak="0">
    <w:nsid w:val="704B3506"/>
    <w:multiLevelType w:val="hybridMultilevel"/>
    <w:tmpl w:val="2E68984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F2D3965"/>
    <w:multiLevelType w:val="hybridMultilevel"/>
    <w:tmpl w:val="92C29C28"/>
    <w:lvl w:ilvl="0" w:tplc="12FA7268">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44857527">
    <w:abstractNumId w:val="6"/>
  </w:num>
  <w:num w:numId="2" w16cid:durableId="767121032">
    <w:abstractNumId w:val="2"/>
  </w:num>
  <w:num w:numId="3" w16cid:durableId="2074228545">
    <w:abstractNumId w:val="0"/>
  </w:num>
  <w:num w:numId="4" w16cid:durableId="678387617">
    <w:abstractNumId w:val="11"/>
  </w:num>
  <w:num w:numId="5" w16cid:durableId="1919054385">
    <w:abstractNumId w:val="17"/>
  </w:num>
  <w:num w:numId="6" w16cid:durableId="105321238">
    <w:abstractNumId w:val="3"/>
  </w:num>
  <w:num w:numId="7" w16cid:durableId="1180199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322058">
    <w:abstractNumId w:val="12"/>
  </w:num>
  <w:num w:numId="9" w16cid:durableId="1234245289">
    <w:abstractNumId w:val="18"/>
  </w:num>
  <w:num w:numId="10" w16cid:durableId="1590117923">
    <w:abstractNumId w:val="18"/>
    <w:lvlOverride w:ilvl="0">
      <w:startOverride w:val="1"/>
    </w:lvlOverride>
  </w:num>
  <w:num w:numId="11" w16cid:durableId="1640380226">
    <w:abstractNumId w:val="18"/>
    <w:lvlOverride w:ilvl="0">
      <w:startOverride w:val="1"/>
    </w:lvlOverride>
  </w:num>
  <w:num w:numId="12" w16cid:durableId="954555894">
    <w:abstractNumId w:val="18"/>
  </w:num>
  <w:num w:numId="13" w16cid:durableId="1937907348">
    <w:abstractNumId w:val="18"/>
    <w:lvlOverride w:ilvl="0">
      <w:startOverride w:val="1"/>
    </w:lvlOverride>
  </w:num>
  <w:num w:numId="14" w16cid:durableId="1485193954">
    <w:abstractNumId w:val="7"/>
  </w:num>
  <w:num w:numId="15" w16cid:durableId="1691837248">
    <w:abstractNumId w:val="10"/>
  </w:num>
  <w:num w:numId="16" w16cid:durableId="191385594">
    <w:abstractNumId w:val="13"/>
  </w:num>
  <w:num w:numId="17" w16cid:durableId="1468235384">
    <w:abstractNumId w:val="8"/>
  </w:num>
  <w:num w:numId="18" w16cid:durableId="681859646">
    <w:abstractNumId w:val="5"/>
  </w:num>
  <w:num w:numId="19" w16cid:durableId="1358040480">
    <w:abstractNumId w:val="1"/>
  </w:num>
  <w:num w:numId="20" w16cid:durableId="78984497">
    <w:abstractNumId w:val="14"/>
  </w:num>
  <w:num w:numId="21" w16cid:durableId="1981691736">
    <w:abstractNumId w:val="16"/>
  </w:num>
  <w:num w:numId="22" w16cid:durableId="531765387">
    <w:abstractNumId w:val="15"/>
  </w:num>
  <w:num w:numId="23" w16cid:durableId="1380477527">
    <w:abstractNumId w:val="9"/>
  </w:num>
  <w:num w:numId="24" w16cid:durableId="1654721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D8"/>
    <w:rsid w:val="00045FC9"/>
    <w:rsid w:val="000512B2"/>
    <w:rsid w:val="0006034C"/>
    <w:rsid w:val="00070BF8"/>
    <w:rsid w:val="00095640"/>
    <w:rsid w:val="000F76D8"/>
    <w:rsid w:val="00103885"/>
    <w:rsid w:val="001227E0"/>
    <w:rsid w:val="00122ECB"/>
    <w:rsid w:val="001636CA"/>
    <w:rsid w:val="00182717"/>
    <w:rsid w:val="001A1585"/>
    <w:rsid w:val="001C16B5"/>
    <w:rsid w:val="001C43D0"/>
    <w:rsid w:val="001C7AE0"/>
    <w:rsid w:val="001E2F21"/>
    <w:rsid w:val="002014AD"/>
    <w:rsid w:val="002210EE"/>
    <w:rsid w:val="00231AD4"/>
    <w:rsid w:val="002344EF"/>
    <w:rsid w:val="00237684"/>
    <w:rsid w:val="00246863"/>
    <w:rsid w:val="002638E5"/>
    <w:rsid w:val="002778D6"/>
    <w:rsid w:val="00287511"/>
    <w:rsid w:val="0029198A"/>
    <w:rsid w:val="002920D7"/>
    <w:rsid w:val="002932D4"/>
    <w:rsid w:val="002A3C20"/>
    <w:rsid w:val="002A42C2"/>
    <w:rsid w:val="002B096D"/>
    <w:rsid w:val="002B13D8"/>
    <w:rsid w:val="002C63D7"/>
    <w:rsid w:val="002F2CEB"/>
    <w:rsid w:val="00310239"/>
    <w:rsid w:val="003263AF"/>
    <w:rsid w:val="003338D1"/>
    <w:rsid w:val="0033519C"/>
    <w:rsid w:val="00336E10"/>
    <w:rsid w:val="00350E71"/>
    <w:rsid w:val="00370460"/>
    <w:rsid w:val="00377AA3"/>
    <w:rsid w:val="0038138D"/>
    <w:rsid w:val="003A3798"/>
    <w:rsid w:val="003B24A6"/>
    <w:rsid w:val="003B304D"/>
    <w:rsid w:val="003B4158"/>
    <w:rsid w:val="003B6E10"/>
    <w:rsid w:val="003D5FFB"/>
    <w:rsid w:val="004113D4"/>
    <w:rsid w:val="00426A97"/>
    <w:rsid w:val="00427553"/>
    <w:rsid w:val="00442626"/>
    <w:rsid w:val="00454266"/>
    <w:rsid w:val="00465409"/>
    <w:rsid w:val="004659E2"/>
    <w:rsid w:val="00480910"/>
    <w:rsid w:val="004923F5"/>
    <w:rsid w:val="004C76A1"/>
    <w:rsid w:val="004D3445"/>
    <w:rsid w:val="004D4A22"/>
    <w:rsid w:val="004D6A25"/>
    <w:rsid w:val="004E3235"/>
    <w:rsid w:val="004F2863"/>
    <w:rsid w:val="004F7C54"/>
    <w:rsid w:val="00504779"/>
    <w:rsid w:val="00504D6E"/>
    <w:rsid w:val="00506A73"/>
    <w:rsid w:val="005172E1"/>
    <w:rsid w:val="00532519"/>
    <w:rsid w:val="005402CA"/>
    <w:rsid w:val="00544393"/>
    <w:rsid w:val="0055121E"/>
    <w:rsid w:val="00556ABC"/>
    <w:rsid w:val="005A0486"/>
    <w:rsid w:val="005A20AC"/>
    <w:rsid w:val="005A387E"/>
    <w:rsid w:val="005C2142"/>
    <w:rsid w:val="005F242D"/>
    <w:rsid w:val="00620378"/>
    <w:rsid w:val="00625DBC"/>
    <w:rsid w:val="00635B0D"/>
    <w:rsid w:val="006458F8"/>
    <w:rsid w:val="00650EC7"/>
    <w:rsid w:val="00655176"/>
    <w:rsid w:val="0067238E"/>
    <w:rsid w:val="00674A59"/>
    <w:rsid w:val="0069193B"/>
    <w:rsid w:val="006A6D53"/>
    <w:rsid w:val="006E4F75"/>
    <w:rsid w:val="006E511D"/>
    <w:rsid w:val="007106A9"/>
    <w:rsid w:val="007142CF"/>
    <w:rsid w:val="0074425B"/>
    <w:rsid w:val="00745197"/>
    <w:rsid w:val="007467F8"/>
    <w:rsid w:val="0075303E"/>
    <w:rsid w:val="00753E8B"/>
    <w:rsid w:val="00767102"/>
    <w:rsid w:val="00771715"/>
    <w:rsid w:val="00786479"/>
    <w:rsid w:val="00792EBC"/>
    <w:rsid w:val="00794ECA"/>
    <w:rsid w:val="0079653F"/>
    <w:rsid w:val="007A2F65"/>
    <w:rsid w:val="007A46B7"/>
    <w:rsid w:val="007B1612"/>
    <w:rsid w:val="007B5007"/>
    <w:rsid w:val="007B50DC"/>
    <w:rsid w:val="007B6860"/>
    <w:rsid w:val="007E0B07"/>
    <w:rsid w:val="007E306B"/>
    <w:rsid w:val="00823FB0"/>
    <w:rsid w:val="00834806"/>
    <w:rsid w:val="00837969"/>
    <w:rsid w:val="00851A6F"/>
    <w:rsid w:val="00855F00"/>
    <w:rsid w:val="00882403"/>
    <w:rsid w:val="00882796"/>
    <w:rsid w:val="008860BE"/>
    <w:rsid w:val="00892375"/>
    <w:rsid w:val="008A4B67"/>
    <w:rsid w:val="008B54D2"/>
    <w:rsid w:val="008B5D43"/>
    <w:rsid w:val="008C5248"/>
    <w:rsid w:val="008E10F5"/>
    <w:rsid w:val="00904790"/>
    <w:rsid w:val="009430F5"/>
    <w:rsid w:val="0094364A"/>
    <w:rsid w:val="00962612"/>
    <w:rsid w:val="009647B4"/>
    <w:rsid w:val="00970DDD"/>
    <w:rsid w:val="00980C5C"/>
    <w:rsid w:val="00987976"/>
    <w:rsid w:val="009A5D4F"/>
    <w:rsid w:val="009A65EC"/>
    <w:rsid w:val="009C20B2"/>
    <w:rsid w:val="009C2CA4"/>
    <w:rsid w:val="009D1FDE"/>
    <w:rsid w:val="009E0C2E"/>
    <w:rsid w:val="00A06829"/>
    <w:rsid w:val="00A23F5B"/>
    <w:rsid w:val="00A279E1"/>
    <w:rsid w:val="00A34260"/>
    <w:rsid w:val="00A47011"/>
    <w:rsid w:val="00A524C7"/>
    <w:rsid w:val="00A56394"/>
    <w:rsid w:val="00A57762"/>
    <w:rsid w:val="00AC1090"/>
    <w:rsid w:val="00AD3744"/>
    <w:rsid w:val="00AF3B15"/>
    <w:rsid w:val="00B13F1B"/>
    <w:rsid w:val="00B2046D"/>
    <w:rsid w:val="00B342BD"/>
    <w:rsid w:val="00B41CF3"/>
    <w:rsid w:val="00B50214"/>
    <w:rsid w:val="00B7781E"/>
    <w:rsid w:val="00B80A5D"/>
    <w:rsid w:val="00B85D79"/>
    <w:rsid w:val="00BA2855"/>
    <w:rsid w:val="00BA739F"/>
    <w:rsid w:val="00BD03DB"/>
    <w:rsid w:val="00BE6BB3"/>
    <w:rsid w:val="00BF2608"/>
    <w:rsid w:val="00C13BD8"/>
    <w:rsid w:val="00C23580"/>
    <w:rsid w:val="00C265E2"/>
    <w:rsid w:val="00C30BD7"/>
    <w:rsid w:val="00C41424"/>
    <w:rsid w:val="00C41451"/>
    <w:rsid w:val="00C41AFD"/>
    <w:rsid w:val="00C60E30"/>
    <w:rsid w:val="00C6572D"/>
    <w:rsid w:val="00C700CE"/>
    <w:rsid w:val="00C92C51"/>
    <w:rsid w:val="00CA35E2"/>
    <w:rsid w:val="00CB209D"/>
    <w:rsid w:val="00CB3A15"/>
    <w:rsid w:val="00CC3F9C"/>
    <w:rsid w:val="00CC79F0"/>
    <w:rsid w:val="00CE709C"/>
    <w:rsid w:val="00CF3B74"/>
    <w:rsid w:val="00CF4960"/>
    <w:rsid w:val="00D04BC6"/>
    <w:rsid w:val="00D04E71"/>
    <w:rsid w:val="00D251E7"/>
    <w:rsid w:val="00D2588F"/>
    <w:rsid w:val="00D54618"/>
    <w:rsid w:val="00D8099C"/>
    <w:rsid w:val="00D8401B"/>
    <w:rsid w:val="00D923BE"/>
    <w:rsid w:val="00D9358C"/>
    <w:rsid w:val="00D96F0C"/>
    <w:rsid w:val="00DB2CC1"/>
    <w:rsid w:val="00DB546C"/>
    <w:rsid w:val="00DC4252"/>
    <w:rsid w:val="00DD39CB"/>
    <w:rsid w:val="00DE464A"/>
    <w:rsid w:val="00E01158"/>
    <w:rsid w:val="00E1051E"/>
    <w:rsid w:val="00E21D71"/>
    <w:rsid w:val="00E4059B"/>
    <w:rsid w:val="00E835F6"/>
    <w:rsid w:val="00E86931"/>
    <w:rsid w:val="00EA2ECB"/>
    <w:rsid w:val="00EA65E4"/>
    <w:rsid w:val="00ED363D"/>
    <w:rsid w:val="00ED36A6"/>
    <w:rsid w:val="00ED6B8E"/>
    <w:rsid w:val="00EF50E3"/>
    <w:rsid w:val="00F11820"/>
    <w:rsid w:val="00F16C47"/>
    <w:rsid w:val="00F308A8"/>
    <w:rsid w:val="00F328E1"/>
    <w:rsid w:val="00F439B9"/>
    <w:rsid w:val="00F45820"/>
    <w:rsid w:val="00F8237A"/>
    <w:rsid w:val="00F94D7B"/>
    <w:rsid w:val="00FC5C57"/>
    <w:rsid w:val="00FD2A78"/>
    <w:rsid w:val="00FF5B6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BFDD0B2"/>
  <w14:discardImageEditingData/>
  <w15:chartTrackingRefBased/>
  <w15:docId w15:val="{262F9E37-F784-2140-A944-E02E5BF1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10"/>
    <w:pPr>
      <w:spacing w:after="112" w:line="200" w:lineRule="atLeast"/>
    </w:pPr>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after="0"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basedOn w:val="Normal"/>
    <w:uiPriority w:val="34"/>
    <w:qFormat/>
    <w:rsid w:val="00AD3744"/>
    <w:pPr>
      <w:numPr>
        <w:numId w:val="14"/>
      </w:numPr>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0F76D8"/>
    <w:pPr>
      <w:spacing w:after="360" w:line="960" w:lineRule="atLeast"/>
      <w:contextualSpacing/>
    </w:pPr>
    <w:rPr>
      <w:rFonts w:ascii="Arial Black" w:eastAsiaTheme="majorEastAsia" w:hAnsi="Arial Black" w:cstheme="majorBidi"/>
      <w:caps/>
      <w:color w:val="102535"/>
      <w:spacing w:val="38"/>
      <w:kern w:val="28"/>
      <w:sz w:val="100"/>
      <w:szCs w:val="56"/>
    </w:rPr>
  </w:style>
  <w:style w:type="character" w:customStyle="1" w:styleId="TitleChar">
    <w:name w:val="Title Char"/>
    <w:basedOn w:val="DefaultParagraphFont"/>
    <w:link w:val="Title"/>
    <w:uiPriority w:val="10"/>
    <w:rsid w:val="000F76D8"/>
    <w:rPr>
      <w:rFonts w:ascii="Arial Black" w:eastAsiaTheme="majorEastAsia" w:hAnsi="Arial Black" w:cstheme="majorBidi"/>
      <w:caps/>
      <w:color w:val="102535"/>
      <w:spacing w:val="38"/>
      <w:kern w:val="28"/>
      <w:sz w:val="100"/>
      <w:szCs w:val="56"/>
    </w:rPr>
  </w:style>
  <w:style w:type="paragraph" w:customStyle="1" w:styleId="IntroductionParagraph">
    <w:name w:val="Introduction Paragraph"/>
    <w:basedOn w:val="Normal"/>
    <w:next w:val="Heading1"/>
    <w:qFormat/>
    <w:rsid w:val="000F76D8"/>
    <w:pPr>
      <w:spacing w:after="600" w:line="400" w:lineRule="atLeast"/>
      <w:ind w:right="4170"/>
    </w:pPr>
    <w:rPr>
      <w:color w:val="005A9C"/>
      <w:sz w:val="28"/>
      <w:szCs w:val="28"/>
    </w:rPr>
  </w:style>
  <w:style w:type="paragraph" w:styleId="NormalWeb">
    <w:name w:val="Normal (Web)"/>
    <w:basedOn w:val="Normal"/>
    <w:uiPriority w:val="99"/>
    <w:semiHidden/>
    <w:unhideWhenUsed/>
    <w:rsid w:val="006458F8"/>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styleId="BalloonText">
    <w:name w:val="Balloon Text"/>
    <w:basedOn w:val="Normal"/>
    <w:link w:val="BalloonTextChar"/>
    <w:uiPriority w:val="99"/>
    <w:semiHidden/>
    <w:unhideWhenUsed/>
    <w:rsid w:val="00FF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62"/>
    <w:rPr>
      <w:rFonts w:ascii="Segoe UI" w:hAnsi="Segoe UI" w:cs="Segoe UI"/>
      <w:sz w:val="18"/>
      <w:szCs w:val="18"/>
    </w:rPr>
  </w:style>
  <w:style w:type="character" w:styleId="CommentReference">
    <w:name w:val="annotation reference"/>
    <w:basedOn w:val="DefaultParagraphFont"/>
    <w:uiPriority w:val="99"/>
    <w:semiHidden/>
    <w:unhideWhenUsed/>
    <w:rsid w:val="00A279E1"/>
    <w:rPr>
      <w:sz w:val="16"/>
      <w:szCs w:val="16"/>
    </w:rPr>
  </w:style>
  <w:style w:type="paragraph" w:styleId="CommentText">
    <w:name w:val="annotation text"/>
    <w:basedOn w:val="Normal"/>
    <w:link w:val="CommentTextChar"/>
    <w:uiPriority w:val="99"/>
    <w:semiHidden/>
    <w:unhideWhenUsed/>
    <w:rsid w:val="00A279E1"/>
    <w:pPr>
      <w:spacing w:line="240" w:lineRule="auto"/>
    </w:pPr>
    <w:rPr>
      <w:sz w:val="20"/>
    </w:rPr>
  </w:style>
  <w:style w:type="character" w:customStyle="1" w:styleId="CommentTextChar">
    <w:name w:val="Comment Text Char"/>
    <w:basedOn w:val="DefaultParagraphFont"/>
    <w:link w:val="CommentText"/>
    <w:uiPriority w:val="99"/>
    <w:semiHidden/>
    <w:rsid w:val="00A279E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279E1"/>
    <w:rPr>
      <w:b/>
      <w:bCs/>
    </w:rPr>
  </w:style>
  <w:style w:type="character" w:customStyle="1" w:styleId="CommentSubjectChar">
    <w:name w:val="Comment Subject Char"/>
    <w:basedOn w:val="CommentTextChar"/>
    <w:link w:val="CommentSubject"/>
    <w:uiPriority w:val="99"/>
    <w:semiHidden/>
    <w:rsid w:val="00A279E1"/>
    <w:rPr>
      <w:rFonts w:asciiTheme="minorHAnsi" w:hAnsiTheme="minorHAnsi"/>
      <w:b/>
      <w:bCs/>
    </w:rPr>
  </w:style>
  <w:style w:type="character" w:customStyle="1" w:styleId="FooterChar">
    <w:name w:val="Footer Char"/>
    <w:basedOn w:val="DefaultParagraphFont"/>
    <w:link w:val="Footer"/>
    <w:rsid w:val="00CC79F0"/>
    <w:rPr>
      <w:rFonts w:ascii="Arial Narrow" w:hAnsi="Arial Narrow"/>
      <w:sz w:val="13"/>
    </w:rPr>
  </w:style>
  <w:style w:type="table" w:styleId="TableGrid">
    <w:name w:val="Table Grid"/>
    <w:basedOn w:val="TableNormal"/>
    <w:uiPriority w:val="59"/>
    <w:rsid w:val="00CC79F0"/>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42"/>
    <w:rPr>
      <w:color w:val="0000FF" w:themeColor="hyperlink"/>
      <w:u w:val="single"/>
    </w:rPr>
  </w:style>
  <w:style w:type="character" w:styleId="UnresolvedMention">
    <w:name w:val="Unresolved Mention"/>
    <w:basedOn w:val="DefaultParagraphFont"/>
    <w:uiPriority w:val="99"/>
    <w:semiHidden/>
    <w:unhideWhenUsed/>
    <w:rsid w:val="005C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99182">
      <w:bodyDiv w:val="1"/>
      <w:marLeft w:val="0"/>
      <w:marRight w:val="0"/>
      <w:marTop w:val="0"/>
      <w:marBottom w:val="0"/>
      <w:divBdr>
        <w:top w:val="none" w:sz="0" w:space="0" w:color="auto"/>
        <w:left w:val="none" w:sz="0" w:space="0" w:color="auto"/>
        <w:bottom w:val="none" w:sz="0" w:space="0" w:color="auto"/>
        <w:right w:val="none" w:sz="0" w:space="0" w:color="auto"/>
      </w:divBdr>
    </w:div>
    <w:div w:id="163167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f.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slation.gov.au/Details/F2022C00105/Html/Text" TargetMode="External"/><Relationship Id="rId4" Type="http://schemas.openxmlformats.org/officeDocument/2006/relationships/settings" Target="settings.xml"/><Relationship Id="rId9" Type="http://schemas.openxmlformats.org/officeDocument/2006/relationships/hyperlink" Target="https://www.adelaide.edu.au/learning/resources-for-educators/graduate-attrib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8727-9ED7-40AC-AF13-7BF64B8F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653</Words>
  <Characters>4317</Characters>
  <Application>Microsoft Office Word</Application>
  <DocSecurity>0</DocSecurity>
  <Lines>71</Lines>
  <Paragraphs>51</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Microsoft Office User</dc:creator>
  <cp:keywords/>
  <dc:description/>
  <cp:lastModifiedBy>Georgina Kate Burns</cp:lastModifiedBy>
  <cp:revision>4</cp:revision>
  <cp:lastPrinted>2002-08-05T05:43:00Z</cp:lastPrinted>
  <dcterms:created xsi:type="dcterms:W3CDTF">2023-01-31T06:02:00Z</dcterms:created>
  <dcterms:modified xsi:type="dcterms:W3CDTF">2023-01-31T06:13:00Z</dcterms:modified>
</cp:coreProperties>
</file>