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8B" w:rsidRPr="006B3C5B" w:rsidRDefault="00F9378B" w:rsidP="00F9378B">
      <w:pPr>
        <w:pStyle w:val="Heading1"/>
        <w:spacing w:before="240" w:after="240"/>
        <w:jc w:val="center"/>
        <w:rPr>
          <w:rFonts w:ascii="Times New (W1)" w:hAnsi="Times New (W1)" w:cs="Times New (W1)"/>
          <w:smallCaps/>
          <w:sz w:val="32"/>
          <w:szCs w:val="32"/>
        </w:rPr>
      </w:pPr>
      <w:r w:rsidRPr="006B3C5B">
        <w:rPr>
          <w:rFonts w:ascii="Times New (W1)" w:hAnsi="Times New (W1)" w:cs="Times New (W1)"/>
          <w:smallCaps/>
          <w:sz w:val="32"/>
          <w:szCs w:val="32"/>
        </w:rPr>
        <w:t xml:space="preserve">Policy on licensing of plant GMOs in which different genetic modifications have been </w:t>
      </w:r>
      <w:r>
        <w:rPr>
          <w:rFonts w:ascii="Times New (W1)" w:hAnsi="Times New (W1)" w:cs="Times New (W1)"/>
          <w:smallCaps/>
          <w:sz w:val="32"/>
          <w:szCs w:val="32"/>
        </w:rPr>
        <w:t>combined (or ‘stacked’)</w:t>
      </w:r>
      <w:r w:rsidRPr="006B3C5B">
        <w:rPr>
          <w:rFonts w:ascii="Times New (W1)" w:hAnsi="Times New (W1)" w:cs="Times New (W1)"/>
          <w:smallCaps/>
          <w:sz w:val="32"/>
          <w:szCs w:val="32"/>
        </w:rPr>
        <w:t xml:space="preserve"> by conventional breeding</w:t>
      </w:r>
    </w:p>
    <w:p w:rsidR="00F9378B" w:rsidRDefault="00F9378B" w:rsidP="00F9378B">
      <w:pPr>
        <w:keepNext/>
      </w:pPr>
    </w:p>
    <w:p w:rsidR="00F9378B" w:rsidRPr="003E1E34" w:rsidRDefault="00F9378B" w:rsidP="00F9378B">
      <w:pPr>
        <w:keepNext/>
        <w:rPr>
          <w:color w:val="000000"/>
        </w:rPr>
      </w:pPr>
      <w:r>
        <w:t xml:space="preserve">This document provides guidance to licence holders/applicants on the OGTR’s policy </w:t>
      </w:r>
      <w:r>
        <w:rPr>
          <w:color w:val="000000"/>
        </w:rPr>
        <w:t>in relation to licensing for commercial release</w:t>
      </w:r>
      <w:r>
        <w:rPr>
          <w:rStyle w:val="FootnoteReference"/>
          <w:color w:val="000000"/>
        </w:rPr>
        <w:footnoteReference w:id="1"/>
      </w:r>
      <w:r>
        <w:rPr>
          <w:color w:val="000000"/>
        </w:rPr>
        <w:t xml:space="preserve"> of genetically modified (</w:t>
      </w:r>
      <w:r w:rsidRPr="003E1E34">
        <w:rPr>
          <w:color w:val="000000"/>
        </w:rPr>
        <w:t>GM</w:t>
      </w:r>
      <w:r>
        <w:rPr>
          <w:color w:val="000000"/>
        </w:rPr>
        <w:t>)</w:t>
      </w:r>
      <w:r w:rsidRPr="003E1E34">
        <w:rPr>
          <w:color w:val="000000"/>
        </w:rPr>
        <w:t xml:space="preserve"> plants </w:t>
      </w:r>
      <w:r>
        <w:rPr>
          <w:color w:val="000000"/>
        </w:rPr>
        <w:t>produced by conventional</w:t>
      </w:r>
      <w:r w:rsidRPr="003E1E34">
        <w:rPr>
          <w:color w:val="000000"/>
        </w:rPr>
        <w:t xml:space="preserve"> bre</w:t>
      </w:r>
      <w:r>
        <w:rPr>
          <w:color w:val="000000"/>
        </w:rPr>
        <w:t>e</w:t>
      </w:r>
      <w:r w:rsidRPr="003E1E34">
        <w:rPr>
          <w:color w:val="000000"/>
        </w:rPr>
        <w:t>d</w:t>
      </w:r>
      <w:r>
        <w:rPr>
          <w:color w:val="000000"/>
        </w:rPr>
        <w:t>ing (‘stacking</w:t>
      </w:r>
      <w:r w:rsidRPr="003E1E34">
        <w:rPr>
          <w:color w:val="000000"/>
        </w:rPr>
        <w:t>’</w:t>
      </w:r>
      <w:r>
        <w:rPr>
          <w:color w:val="000000"/>
        </w:rPr>
        <w:t>) between different, separately licensed, plant genetically modified organisms (GMOs).  The following questions are addressed:</w:t>
      </w:r>
    </w:p>
    <w:p w:rsidR="00F9378B" w:rsidRPr="003E1E34" w:rsidRDefault="00F9378B" w:rsidP="00F9378B">
      <w:pPr>
        <w:numPr>
          <w:ilvl w:val="0"/>
          <w:numId w:val="1"/>
        </w:numPr>
        <w:spacing w:before="120"/>
        <w:ind w:left="357" w:hanging="357"/>
        <w:rPr>
          <w:color w:val="000000"/>
        </w:rPr>
      </w:pPr>
      <w:r>
        <w:rPr>
          <w:color w:val="000000"/>
        </w:rPr>
        <w:t>Is specific</w:t>
      </w:r>
      <w:r w:rsidRPr="003E1E34">
        <w:rPr>
          <w:color w:val="000000"/>
        </w:rPr>
        <w:t xml:space="preserve"> approval</w:t>
      </w:r>
      <w:r>
        <w:rPr>
          <w:color w:val="000000"/>
        </w:rPr>
        <w:t xml:space="preserve"> required for a stacked GMO?</w:t>
      </w:r>
    </w:p>
    <w:p w:rsidR="00F9378B" w:rsidRPr="003E1E34" w:rsidRDefault="00F9378B" w:rsidP="00F9378B">
      <w:pPr>
        <w:numPr>
          <w:ilvl w:val="0"/>
          <w:numId w:val="1"/>
        </w:numPr>
        <w:spacing w:before="120"/>
        <w:ind w:left="357" w:hanging="357"/>
        <w:rPr>
          <w:color w:val="000000"/>
        </w:rPr>
      </w:pPr>
      <w:r>
        <w:rPr>
          <w:color w:val="000000"/>
        </w:rPr>
        <w:t>Can stacked GMOs be licensed by</w:t>
      </w:r>
      <w:r w:rsidRPr="003E1E34">
        <w:rPr>
          <w:color w:val="000000"/>
        </w:rPr>
        <w:t xml:space="preserve"> </w:t>
      </w:r>
      <w:r>
        <w:rPr>
          <w:color w:val="000000"/>
        </w:rPr>
        <w:t>variation of</w:t>
      </w:r>
      <w:r w:rsidRPr="003E1E34">
        <w:rPr>
          <w:color w:val="000000"/>
        </w:rPr>
        <w:t xml:space="preserve"> existing licences or </w:t>
      </w:r>
      <w:r>
        <w:rPr>
          <w:color w:val="000000"/>
        </w:rPr>
        <w:t>only through</w:t>
      </w:r>
      <w:r w:rsidRPr="003E1E34">
        <w:rPr>
          <w:color w:val="000000"/>
        </w:rPr>
        <w:t xml:space="preserve"> new licence applications</w:t>
      </w:r>
      <w:r>
        <w:rPr>
          <w:color w:val="000000"/>
        </w:rPr>
        <w:t>?</w:t>
      </w:r>
    </w:p>
    <w:p w:rsidR="00F9378B" w:rsidRPr="003E1E34" w:rsidRDefault="00F9378B" w:rsidP="00F9378B">
      <w:pPr>
        <w:numPr>
          <w:ilvl w:val="0"/>
          <w:numId w:val="1"/>
        </w:numPr>
        <w:spacing w:before="120"/>
        <w:ind w:left="357" w:hanging="357"/>
        <w:rPr>
          <w:color w:val="000000"/>
        </w:rPr>
      </w:pPr>
      <w:r>
        <w:rPr>
          <w:color w:val="000000"/>
        </w:rPr>
        <w:t>What level and type of data are</w:t>
      </w:r>
      <w:r w:rsidRPr="003E1E34">
        <w:rPr>
          <w:color w:val="000000"/>
        </w:rPr>
        <w:t xml:space="preserve"> required in</w:t>
      </w:r>
      <w:r>
        <w:rPr>
          <w:color w:val="000000"/>
        </w:rPr>
        <w:t xml:space="preserve"> support a licence application, or variation request, relating to a stacked GMO?</w:t>
      </w:r>
    </w:p>
    <w:p w:rsidR="00F9378B" w:rsidRPr="003E1E34" w:rsidRDefault="00F9378B" w:rsidP="00F9378B">
      <w:pPr>
        <w:pStyle w:val="BodyText"/>
        <w:spacing w:after="0"/>
        <w:ind w:left="360"/>
        <w:jc w:val="left"/>
        <w:rPr>
          <w:color w:val="000000"/>
        </w:rPr>
      </w:pPr>
    </w:p>
    <w:p w:rsidR="00F9378B" w:rsidRPr="003E1E34" w:rsidRDefault="00F9378B" w:rsidP="00F9378B">
      <w:pPr>
        <w:keepNext/>
        <w:rPr>
          <w:color w:val="000000"/>
        </w:rPr>
      </w:pPr>
      <w:r w:rsidRPr="003E1E34">
        <w:rPr>
          <w:color w:val="000000"/>
        </w:rPr>
        <w:t xml:space="preserve">OGTR policy on these three </w:t>
      </w:r>
      <w:r>
        <w:rPr>
          <w:color w:val="000000"/>
        </w:rPr>
        <w:t>questions</w:t>
      </w:r>
      <w:r w:rsidRPr="003E1E34">
        <w:rPr>
          <w:color w:val="000000"/>
        </w:rPr>
        <w:t>, respectively, is that:</w:t>
      </w:r>
    </w:p>
    <w:p w:rsidR="00F9378B" w:rsidRDefault="00F9378B" w:rsidP="00F9378B">
      <w:pPr>
        <w:numPr>
          <w:ilvl w:val="0"/>
          <w:numId w:val="1"/>
        </w:numPr>
        <w:spacing w:before="120"/>
        <w:ind w:left="357" w:hanging="357"/>
        <w:rPr>
          <w:color w:val="000000"/>
        </w:rPr>
      </w:pPr>
      <w:r>
        <w:rPr>
          <w:color w:val="000000"/>
        </w:rPr>
        <w:t xml:space="preserve">Dealings involving intentional </w:t>
      </w:r>
      <w:r w:rsidRPr="003E1E34">
        <w:rPr>
          <w:color w:val="000000"/>
        </w:rPr>
        <w:t xml:space="preserve">release for </w:t>
      </w:r>
      <w:r>
        <w:rPr>
          <w:color w:val="000000"/>
        </w:rPr>
        <w:t>any GMO</w:t>
      </w:r>
      <w:r w:rsidRPr="003E1E34">
        <w:rPr>
          <w:color w:val="000000"/>
        </w:rPr>
        <w:t xml:space="preserve">, including </w:t>
      </w:r>
      <w:r>
        <w:rPr>
          <w:color w:val="000000"/>
        </w:rPr>
        <w:t>one</w:t>
      </w:r>
      <w:r w:rsidRPr="003E1E34">
        <w:rPr>
          <w:color w:val="000000"/>
        </w:rPr>
        <w:t xml:space="preserve"> derived by conventional breeding</w:t>
      </w:r>
      <w:r>
        <w:rPr>
          <w:color w:val="000000"/>
        </w:rPr>
        <w:t xml:space="preserve"> between different GMOs, must be licensed.</w:t>
      </w:r>
      <w:r w:rsidRPr="003E1E34">
        <w:rPr>
          <w:color w:val="000000"/>
        </w:rPr>
        <w:t xml:space="preserve"> </w:t>
      </w:r>
      <w:r>
        <w:rPr>
          <w:color w:val="000000"/>
        </w:rPr>
        <w:t xml:space="preserve"> </w:t>
      </w:r>
    </w:p>
    <w:p w:rsidR="00F9378B" w:rsidRDefault="00F9378B" w:rsidP="00F9378B">
      <w:pPr>
        <w:spacing w:before="120"/>
        <w:ind w:left="360"/>
        <w:rPr>
          <w:color w:val="000000"/>
        </w:rPr>
      </w:pPr>
      <w:r>
        <w:rPr>
          <w:color w:val="000000"/>
        </w:rPr>
        <w:t>For a commercial release, this requirement may be met through:</w:t>
      </w:r>
    </w:p>
    <w:p w:rsidR="00F9378B" w:rsidRDefault="00F9378B" w:rsidP="00F9378B">
      <w:pPr>
        <w:numPr>
          <w:ilvl w:val="0"/>
          <w:numId w:val="2"/>
        </w:numPr>
        <w:tabs>
          <w:tab w:val="clear" w:pos="360"/>
          <w:tab w:val="num" w:pos="720"/>
        </w:tabs>
        <w:spacing w:before="120"/>
        <w:ind w:left="720"/>
        <w:rPr>
          <w:color w:val="000000"/>
        </w:rPr>
      </w:pPr>
      <w:r>
        <w:rPr>
          <w:color w:val="000000"/>
        </w:rPr>
        <w:t xml:space="preserve">explicit listing of a particular stacked GMO in a GMO licence (through the licence application process or licence variation); or </w:t>
      </w:r>
    </w:p>
    <w:p w:rsidR="00F9378B" w:rsidRDefault="00F9378B" w:rsidP="00F9378B">
      <w:pPr>
        <w:numPr>
          <w:ilvl w:val="0"/>
          <w:numId w:val="2"/>
        </w:numPr>
        <w:tabs>
          <w:tab w:val="clear" w:pos="360"/>
          <w:tab w:val="num" w:pos="720"/>
        </w:tabs>
        <w:spacing w:before="120"/>
        <w:ind w:left="720"/>
        <w:rPr>
          <w:color w:val="000000"/>
        </w:rPr>
      </w:pPr>
      <w:proofErr w:type="gramStart"/>
      <w:r>
        <w:rPr>
          <w:color w:val="000000"/>
        </w:rPr>
        <w:t>inclusion</w:t>
      </w:r>
      <w:proofErr w:type="gramEnd"/>
      <w:r>
        <w:rPr>
          <w:color w:val="000000"/>
        </w:rPr>
        <w:t xml:space="preserve"> of specific conditions in the licences for the parent GMOs to encompass stacking between genetic modifications listed in separate GMO licences.  In this case, dealings with particular stacked GM plants would not require separate licensing but would be subject to, and need to comply with, the conditions of licences for </w:t>
      </w:r>
      <w:r w:rsidRPr="00B3118D">
        <w:rPr>
          <w:color w:val="000000"/>
          <w:u w:val="single"/>
        </w:rPr>
        <w:t>both</w:t>
      </w:r>
      <w:r>
        <w:rPr>
          <w:color w:val="000000"/>
        </w:rPr>
        <w:t xml:space="preserve"> parent GMOs.  To date such conditions have not been included in GMO licences.  </w:t>
      </w:r>
    </w:p>
    <w:p w:rsidR="00F9378B" w:rsidRPr="003E1E34" w:rsidRDefault="00F9378B" w:rsidP="00F9378B">
      <w:pPr>
        <w:spacing w:before="120"/>
        <w:ind w:left="360"/>
        <w:rPr>
          <w:color w:val="000000"/>
        </w:rPr>
      </w:pPr>
      <w:r>
        <w:rPr>
          <w:color w:val="000000"/>
        </w:rPr>
        <w:t>The Regulators’ decisions on authorising a particular stacked GMO, through a specific licence or inclusion of licence conditions to encompass stacking, will be made based on the relevant</w:t>
      </w:r>
      <w:r w:rsidRPr="00A627A7">
        <w:rPr>
          <w:color w:val="000000"/>
        </w:rPr>
        <w:t xml:space="preserve"> </w:t>
      </w:r>
      <w:r>
        <w:rPr>
          <w:color w:val="000000"/>
        </w:rPr>
        <w:t>case-by-case Risk Assessment and Risk Management Plans (RARMPs);</w:t>
      </w:r>
    </w:p>
    <w:p w:rsidR="00F9378B" w:rsidRPr="00743BEB" w:rsidRDefault="00F9378B" w:rsidP="00F9378B">
      <w:pPr>
        <w:numPr>
          <w:ilvl w:val="0"/>
          <w:numId w:val="1"/>
        </w:numPr>
        <w:spacing w:before="120"/>
        <w:ind w:left="357" w:hanging="357"/>
        <w:rPr>
          <w:color w:val="000000"/>
        </w:rPr>
      </w:pPr>
      <w:proofErr w:type="gramStart"/>
      <w:r w:rsidRPr="008C0009">
        <w:rPr>
          <w:color w:val="000000"/>
        </w:rPr>
        <w:t>variation</w:t>
      </w:r>
      <w:proofErr w:type="gramEnd"/>
      <w:r w:rsidRPr="008C0009">
        <w:rPr>
          <w:color w:val="000000"/>
        </w:rPr>
        <w:t xml:space="preserve"> request</w:t>
      </w:r>
      <w:r>
        <w:rPr>
          <w:color w:val="000000"/>
        </w:rPr>
        <w:t>s</w:t>
      </w:r>
      <w:r w:rsidRPr="008C0009">
        <w:rPr>
          <w:color w:val="000000"/>
        </w:rPr>
        <w:t xml:space="preserve"> to allow stacking between genetic modifications listed in separate GMO licences will be assessed by the Regulator on a case-by-case basis.</w:t>
      </w:r>
      <w:r>
        <w:rPr>
          <w:color w:val="000000"/>
        </w:rPr>
        <w:t xml:space="preserve">  </w:t>
      </w:r>
      <w:r>
        <w:rPr>
          <w:color w:val="000000"/>
        </w:rPr>
        <w:br/>
      </w:r>
      <w:r w:rsidRPr="00743BEB">
        <w:rPr>
          <w:color w:val="000000"/>
        </w:rPr>
        <w:t>As described in the current</w:t>
      </w:r>
      <w:r>
        <w:rPr>
          <w:color w:val="000000"/>
        </w:rPr>
        <w:t xml:space="preserve"> </w:t>
      </w:r>
      <w:hyperlink r:id="rId7" w:history="1">
        <w:r w:rsidRPr="00417D43">
          <w:rPr>
            <w:rStyle w:val="Hyperlink"/>
          </w:rPr>
          <w:t>policy document on variation of GMO licences</w:t>
        </w:r>
      </w:hyperlink>
      <w:r w:rsidRPr="00743BEB">
        <w:rPr>
          <w:color w:val="000000"/>
        </w:rPr>
        <w:t xml:space="preserve">, </w:t>
      </w:r>
      <w:r>
        <w:rPr>
          <w:color w:val="000000"/>
        </w:rPr>
        <w:br/>
      </w:r>
      <w:r w:rsidRPr="00743BEB">
        <w:rPr>
          <w:color w:val="000000"/>
        </w:rPr>
        <w:t>a</w:t>
      </w:r>
      <w:r>
        <w:rPr>
          <w:color w:val="000000"/>
        </w:rPr>
        <w:t>ll</w:t>
      </w:r>
      <w:r w:rsidRPr="00743BEB">
        <w:rPr>
          <w:color w:val="000000"/>
        </w:rPr>
        <w:t xml:space="preserve"> variation request</w:t>
      </w:r>
      <w:r>
        <w:rPr>
          <w:color w:val="000000"/>
        </w:rPr>
        <w:t>s</w:t>
      </w:r>
      <w:r w:rsidRPr="00743BEB">
        <w:rPr>
          <w:color w:val="000000"/>
        </w:rPr>
        <w:t xml:space="preserve"> will be assessed using </w:t>
      </w:r>
      <w:r w:rsidRPr="00743BEB">
        <w:t>the hazard identification proc</w:t>
      </w:r>
      <w:r>
        <w:t>ess used in current RARMPs</w:t>
      </w:r>
      <w:r w:rsidRPr="00743BEB">
        <w:t xml:space="preserve">, based on the </w:t>
      </w:r>
      <w:hyperlink r:id="rId8" w:history="1">
        <w:r w:rsidR="00417D43" w:rsidRPr="00417D43">
          <w:rPr>
            <w:rStyle w:val="Hyperlink"/>
            <w:i/>
            <w:iCs/>
          </w:rPr>
          <w:t>Risk Analysis Framework</w:t>
        </w:r>
      </w:hyperlink>
      <w:r w:rsidRPr="00743BEB">
        <w:t xml:space="preserve">.  </w:t>
      </w:r>
      <w:r>
        <w:br/>
      </w:r>
      <w:r>
        <w:rPr>
          <w:color w:val="000000"/>
        </w:rPr>
        <w:t>I</w:t>
      </w:r>
      <w:r w:rsidRPr="00743BEB">
        <w:t>f</w:t>
      </w:r>
      <w:r w:rsidRPr="00743BEB">
        <w:rPr>
          <w:color w:val="000000"/>
        </w:rPr>
        <w:t xml:space="preserve"> a</w:t>
      </w:r>
      <w:r>
        <w:rPr>
          <w:color w:val="000000"/>
        </w:rPr>
        <w:t xml:space="preserve">dditional risks are identified </w:t>
      </w:r>
      <w:r w:rsidRPr="00743BEB">
        <w:rPr>
          <w:color w:val="000000"/>
        </w:rPr>
        <w:t>a new application is likely to be required; and</w:t>
      </w:r>
    </w:p>
    <w:p w:rsidR="00417D43" w:rsidRDefault="00F9378B" w:rsidP="00F9378B">
      <w:pPr>
        <w:keepLines/>
        <w:numPr>
          <w:ilvl w:val="0"/>
          <w:numId w:val="1"/>
        </w:numPr>
        <w:spacing w:before="120"/>
        <w:ind w:left="357" w:hanging="357"/>
        <w:rPr>
          <w:color w:val="000000"/>
        </w:rPr>
      </w:pPr>
      <w:r>
        <w:rPr>
          <w:color w:val="000000"/>
        </w:rPr>
        <w:lastRenderedPageBreak/>
        <w:t>S</w:t>
      </w:r>
      <w:r w:rsidRPr="003E1E34">
        <w:rPr>
          <w:color w:val="000000"/>
        </w:rPr>
        <w:t xml:space="preserve">ufficient </w:t>
      </w:r>
      <w:r>
        <w:rPr>
          <w:color w:val="000000"/>
        </w:rPr>
        <w:t>data must be available</w:t>
      </w:r>
      <w:r w:rsidRPr="003E1E34">
        <w:rPr>
          <w:color w:val="000000"/>
        </w:rPr>
        <w:t xml:space="preserve"> to enable the Regulator to </w:t>
      </w:r>
      <w:r>
        <w:rPr>
          <w:color w:val="000000"/>
        </w:rPr>
        <w:t>assess if</w:t>
      </w:r>
      <w:r w:rsidRPr="003E1E34">
        <w:rPr>
          <w:color w:val="000000"/>
        </w:rPr>
        <w:t xml:space="preserve"> </w:t>
      </w:r>
      <w:r>
        <w:rPr>
          <w:color w:val="000000"/>
        </w:rPr>
        <w:t>a particular stacked GMO poses risks which require specific treatment in licence conditions</w:t>
      </w:r>
      <w:r w:rsidRPr="003E1E34">
        <w:rPr>
          <w:color w:val="000000"/>
        </w:rPr>
        <w:t>.</w:t>
      </w:r>
      <w:r>
        <w:rPr>
          <w:color w:val="000000"/>
        </w:rPr>
        <w:t xml:space="preserve">  This information may be </w:t>
      </w:r>
      <w:r w:rsidRPr="003E1E34">
        <w:rPr>
          <w:color w:val="000000"/>
        </w:rPr>
        <w:t xml:space="preserve">in </w:t>
      </w:r>
      <w:r>
        <w:rPr>
          <w:color w:val="000000"/>
        </w:rPr>
        <w:t>a new</w:t>
      </w:r>
      <w:r w:rsidRPr="003E1E34">
        <w:rPr>
          <w:color w:val="000000"/>
        </w:rPr>
        <w:t xml:space="preserve"> applicat</w:t>
      </w:r>
      <w:r>
        <w:rPr>
          <w:color w:val="000000"/>
        </w:rPr>
        <w:t xml:space="preserve">ion or in previous applications or RARMPs (and not restricted by third party </w:t>
      </w:r>
      <w:r w:rsidRPr="003E1E34">
        <w:rPr>
          <w:color w:val="000000"/>
        </w:rPr>
        <w:t>Confidential Commercial Information (CCI)</w:t>
      </w:r>
      <w:r>
        <w:rPr>
          <w:color w:val="000000"/>
        </w:rPr>
        <w:t xml:space="preserve">).  Information on the potential for interaction of the GM traits combined by stacking will be required for the Regulators’ assessment of a stacked GMO. </w:t>
      </w:r>
      <w:r w:rsidRPr="003E1E34">
        <w:rPr>
          <w:color w:val="000000"/>
        </w:rPr>
        <w:t xml:space="preserve"> </w:t>
      </w:r>
      <w:r>
        <w:rPr>
          <w:color w:val="000000"/>
        </w:rPr>
        <w:t>The specific data required will depend on this potential.</w:t>
      </w:r>
    </w:p>
    <w:p w:rsidR="00F9378B" w:rsidRDefault="00F9378B" w:rsidP="00417D43">
      <w:pPr>
        <w:keepLines/>
        <w:spacing w:before="120"/>
        <w:ind w:left="357"/>
        <w:rPr>
          <w:color w:val="000000"/>
        </w:rPr>
      </w:pPr>
      <w:bookmarkStart w:id="0" w:name="_GoBack"/>
      <w:bookmarkEnd w:id="0"/>
      <w:r>
        <w:rPr>
          <w:color w:val="000000"/>
        </w:rPr>
        <w:br/>
        <w:t>Applicants who are considering the release of GM plants with stacked genetic modifications should consult the OGTR about what information should be included in their application or variation request.</w:t>
      </w:r>
    </w:p>
    <w:p w:rsidR="00F9378B" w:rsidRDefault="00F9378B" w:rsidP="00F9378B">
      <w:pPr>
        <w:keepLines/>
        <w:spacing w:before="120"/>
        <w:rPr>
          <w:color w:val="000000"/>
        </w:rPr>
      </w:pPr>
    </w:p>
    <w:p w:rsidR="00F9378B" w:rsidRDefault="00F9378B" w:rsidP="00F9378B">
      <w:pPr>
        <w:keepLines/>
        <w:spacing w:before="120"/>
        <w:rPr>
          <w:color w:val="000000"/>
        </w:rPr>
      </w:pPr>
      <w:r>
        <w:rPr>
          <w:color w:val="000000"/>
        </w:rPr>
        <w:t>Applicants are strongly encouraged to consider potential stacking, and the need for any associated data, when preparing an application for commercial release of any GM plant.</w:t>
      </w:r>
    </w:p>
    <w:p w:rsidR="00F9378B" w:rsidRDefault="00F9378B" w:rsidP="00F9378B">
      <w:pPr>
        <w:keepLines/>
        <w:spacing w:before="120"/>
        <w:rPr>
          <w:color w:val="000000"/>
        </w:rPr>
      </w:pPr>
    </w:p>
    <w:p w:rsidR="00F9378B" w:rsidRDefault="00F9378B" w:rsidP="00F9378B">
      <w:pPr>
        <w:keepLines/>
        <w:tabs>
          <w:tab w:val="right" w:pos="9180"/>
        </w:tabs>
        <w:spacing w:before="120"/>
        <w:jc w:val="right"/>
        <w:rPr>
          <w:color w:val="000000"/>
        </w:rPr>
      </w:pPr>
      <w:r>
        <w:rPr>
          <w:color w:val="000000"/>
        </w:rPr>
        <w:t>April 2007</w:t>
      </w:r>
    </w:p>
    <w:p w:rsidR="00F9378B" w:rsidRPr="003E1E34" w:rsidRDefault="00F9378B" w:rsidP="00F9378B">
      <w:pPr>
        <w:keepLines/>
        <w:tabs>
          <w:tab w:val="right" w:pos="9180"/>
        </w:tabs>
        <w:spacing w:before="120"/>
        <w:jc w:val="right"/>
        <w:rPr>
          <w:color w:val="000000"/>
        </w:rPr>
      </w:pPr>
      <w:r>
        <w:rPr>
          <w:color w:val="000000"/>
        </w:rPr>
        <w:t>(Links updated September 2008)</w:t>
      </w:r>
    </w:p>
    <w:p w:rsidR="00DE74EC" w:rsidRDefault="00DE74EC"/>
    <w:sectPr w:rsidR="00DE74EC" w:rsidSect="007F1ADB">
      <w:headerReference w:type="default" r:id="rId9"/>
      <w:footerReference w:type="default" r:id="rId10"/>
      <w:headerReference w:type="first" r:id="rId11"/>
      <w:footerReference w:type="first" r:id="rId12"/>
      <w:pgSz w:w="11906" w:h="16838" w:code="9"/>
      <w:pgMar w:top="1418" w:right="1418" w:bottom="1304" w:left="1418"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78B" w:rsidRDefault="00F9378B" w:rsidP="00F9378B">
      <w:r>
        <w:separator/>
      </w:r>
    </w:p>
  </w:endnote>
  <w:endnote w:type="continuationSeparator" w:id="0">
    <w:p w:rsidR="00F9378B" w:rsidRDefault="00F9378B" w:rsidP="00F9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ADB" w:rsidRDefault="00417D43">
    <w:pPr>
      <w:pStyle w:val="Footer"/>
      <w:jc w:val="right"/>
      <w:rPr>
        <w:sz w:val="20"/>
        <w:szCs w:val="20"/>
      </w:rPr>
    </w:pPr>
    <w:r>
      <w:rPr>
        <w:sz w:val="20"/>
        <w:szCs w:val="20"/>
        <w:lang w:val="en-US"/>
      </w:rPr>
      <w:t xml:space="preserve">Page </w: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t>2</w:t>
    </w:r>
    <w:r>
      <w:rPr>
        <w:sz w:val="20"/>
        <w:szCs w:val="20"/>
        <w:lang w:val="en-US"/>
      </w:rPr>
      <w:fldChar w:fldCharType="end"/>
    </w:r>
    <w:r>
      <w:rPr>
        <w:sz w:val="20"/>
        <w:szCs w:val="20"/>
        <w:lang w:val="en-US"/>
      </w:rPr>
      <w:t xml:space="preserve"> of </w:t>
    </w:r>
    <w:r>
      <w:rPr>
        <w:sz w:val="20"/>
        <w:szCs w:val="20"/>
        <w:lang w:val="en-US"/>
      </w:rPr>
      <w:fldChar w:fldCharType="begin"/>
    </w:r>
    <w:r>
      <w:rPr>
        <w:sz w:val="20"/>
        <w:szCs w:val="20"/>
        <w:lang w:val="en-US"/>
      </w:rPr>
      <w:instrText xml:space="preserve"> NUMPAGES </w:instrText>
    </w:r>
    <w:r>
      <w:rPr>
        <w:sz w:val="20"/>
        <w:szCs w:val="20"/>
        <w:lang w:val="en-US"/>
      </w:rPr>
      <w:fldChar w:fldCharType="separate"/>
    </w:r>
    <w:r>
      <w:rPr>
        <w:noProof/>
        <w:sz w:val="20"/>
        <w:szCs w:val="20"/>
        <w:lang w:val="en-US"/>
      </w:rPr>
      <w:t>2</w:t>
    </w:r>
    <w:r>
      <w:rPr>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ADB" w:rsidRDefault="00417D43" w:rsidP="00B97D36">
    <w:pPr>
      <w:pBdr>
        <w:top w:val="single" w:sz="4" w:space="1" w:color="auto"/>
      </w:pBdr>
      <w:jc w:val="center"/>
      <w:rPr>
        <w:noProof/>
        <w:sz w:val="20"/>
        <w:szCs w:val="20"/>
      </w:rPr>
    </w:pPr>
    <w:r>
      <w:rPr>
        <w:noProof/>
        <w:sz w:val="20"/>
        <w:szCs w:val="20"/>
      </w:rPr>
      <w:t>Address: MDP 54 GPO Box 9848 Canberra ACT 2600  Website: www.ogtr.gov.au</w:t>
    </w:r>
  </w:p>
  <w:p w:rsidR="007F1ADB" w:rsidRDefault="00417D43">
    <w:pPr>
      <w:pStyle w:val="Footer"/>
      <w:jc w:val="center"/>
    </w:pPr>
    <w:r>
      <w:rPr>
        <w:noProof/>
        <w:sz w:val="20"/>
        <w:szCs w:val="20"/>
      </w:rPr>
      <w:t>Telephone: 1800 181 030  Facsimile: 02 6271 4202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78B" w:rsidRDefault="00F9378B" w:rsidP="00F9378B">
      <w:r>
        <w:separator/>
      </w:r>
    </w:p>
  </w:footnote>
  <w:footnote w:type="continuationSeparator" w:id="0">
    <w:p w:rsidR="00F9378B" w:rsidRDefault="00F9378B" w:rsidP="00F9378B">
      <w:r>
        <w:continuationSeparator/>
      </w:r>
    </w:p>
  </w:footnote>
  <w:footnote w:id="1">
    <w:p w:rsidR="00F9378B" w:rsidRDefault="00F9378B" w:rsidP="00F9378B">
      <w:pPr>
        <w:pStyle w:val="FootnoteText"/>
      </w:pPr>
      <w:r>
        <w:rPr>
          <w:rStyle w:val="FootnoteReference"/>
        </w:rPr>
        <w:footnoteRef/>
      </w:r>
      <w:r>
        <w:t xml:space="preserve"> </w:t>
      </w:r>
      <w:r w:rsidRPr="00CE1DA8">
        <w:t xml:space="preserve">The term commercial release has no status under the </w:t>
      </w:r>
      <w:r w:rsidRPr="00CE1DA8">
        <w:rPr>
          <w:i/>
          <w:iCs/>
        </w:rPr>
        <w:t>Gene Technology Act 2000</w:t>
      </w:r>
      <w:r w:rsidRPr="00CE1DA8">
        <w:t xml:space="preserve"> but is conventionally used to describe a licence for which a risk assessment and risk management plan has determined that no containment conditions are required. As a consequence comm</w:t>
      </w:r>
      <w:r>
        <w:t>ercial licences contain limited or no restrictions</w:t>
      </w:r>
      <w:r w:rsidRPr="00CE1DA8">
        <w:t xml:space="preserve"> on where the GMO may be grown or by whom.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ADB" w:rsidRDefault="00417D43">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ADB" w:rsidRDefault="00F9378B">
    <w:pPr>
      <w:pStyle w:val="Header"/>
    </w:pPr>
    <w:r w:rsidRPr="00CD4973">
      <w:rPr>
        <w:rFonts w:ascii="Arial" w:hAnsi="Arial" w:cs="Arial"/>
        <w:noProof/>
        <w:sz w:val="16"/>
        <w:szCs w:val="16"/>
        <w:lang w:eastAsia="en-AU"/>
      </w:rPr>
      <w:drawing>
        <wp:inline distT="0" distB="0" distL="0" distR="0">
          <wp:extent cx="3996055" cy="967105"/>
          <wp:effectExtent l="0" t="0" r="4445" b="4445"/>
          <wp:docPr id="1" name="Picture 1" title="Australin Government Department of Health 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6055" cy="967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755A6"/>
    <w:multiLevelType w:val="hybridMultilevel"/>
    <w:tmpl w:val="6C46303C"/>
    <w:lvl w:ilvl="0" w:tplc="04208B3A">
      <w:start w:val="1"/>
      <w:numFmt w:val="lowerRoman"/>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B1D0244"/>
    <w:multiLevelType w:val="hybridMultilevel"/>
    <w:tmpl w:val="1AE88A8A"/>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8B"/>
    <w:rsid w:val="00417D43"/>
    <w:rsid w:val="00DE74EC"/>
    <w:rsid w:val="00F93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B97F7"/>
  <w15:chartTrackingRefBased/>
  <w15:docId w15:val="{30A34AB8-FFB5-4F1F-A2AE-768854DE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7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9378B"/>
    <w:pPr>
      <w:keepNext/>
      <w:spacing w:after="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378B"/>
    <w:rPr>
      <w:rFonts w:ascii="Times New Roman" w:eastAsia="Times New Roman" w:hAnsi="Times New Roman" w:cs="Times New Roman"/>
      <w:b/>
      <w:bCs/>
      <w:sz w:val="24"/>
      <w:szCs w:val="24"/>
    </w:rPr>
  </w:style>
  <w:style w:type="paragraph" w:styleId="Header">
    <w:name w:val="header"/>
    <w:basedOn w:val="Normal"/>
    <w:link w:val="HeaderChar"/>
    <w:uiPriority w:val="99"/>
    <w:rsid w:val="00F9378B"/>
    <w:pPr>
      <w:tabs>
        <w:tab w:val="center" w:pos="4153"/>
        <w:tab w:val="right" w:pos="8306"/>
      </w:tabs>
    </w:pPr>
  </w:style>
  <w:style w:type="character" w:customStyle="1" w:styleId="HeaderChar">
    <w:name w:val="Header Char"/>
    <w:basedOn w:val="DefaultParagraphFont"/>
    <w:link w:val="Header"/>
    <w:uiPriority w:val="99"/>
    <w:rsid w:val="00F9378B"/>
    <w:rPr>
      <w:rFonts w:ascii="Times New Roman" w:eastAsia="Times New Roman" w:hAnsi="Times New Roman" w:cs="Times New Roman"/>
      <w:sz w:val="24"/>
      <w:szCs w:val="24"/>
    </w:rPr>
  </w:style>
  <w:style w:type="paragraph" w:styleId="Footer">
    <w:name w:val="footer"/>
    <w:basedOn w:val="Normal"/>
    <w:link w:val="FooterChar"/>
    <w:uiPriority w:val="99"/>
    <w:rsid w:val="00F9378B"/>
    <w:pPr>
      <w:tabs>
        <w:tab w:val="center" w:pos="4153"/>
        <w:tab w:val="right" w:pos="8306"/>
      </w:tabs>
    </w:pPr>
  </w:style>
  <w:style w:type="character" w:customStyle="1" w:styleId="FooterChar">
    <w:name w:val="Footer Char"/>
    <w:basedOn w:val="DefaultParagraphFont"/>
    <w:link w:val="Footer"/>
    <w:uiPriority w:val="99"/>
    <w:rsid w:val="00F9378B"/>
    <w:rPr>
      <w:rFonts w:ascii="Times New Roman" w:eastAsia="Times New Roman" w:hAnsi="Times New Roman" w:cs="Times New Roman"/>
      <w:sz w:val="24"/>
      <w:szCs w:val="24"/>
    </w:rPr>
  </w:style>
  <w:style w:type="paragraph" w:styleId="BodyText">
    <w:name w:val="Body Text"/>
    <w:basedOn w:val="Normal"/>
    <w:link w:val="BodyTextChar"/>
    <w:uiPriority w:val="99"/>
    <w:rsid w:val="00F9378B"/>
    <w:pPr>
      <w:spacing w:after="120"/>
      <w:jc w:val="both"/>
    </w:pPr>
  </w:style>
  <w:style w:type="character" w:customStyle="1" w:styleId="BodyTextChar">
    <w:name w:val="Body Text Char"/>
    <w:basedOn w:val="DefaultParagraphFont"/>
    <w:link w:val="BodyText"/>
    <w:uiPriority w:val="99"/>
    <w:rsid w:val="00F9378B"/>
    <w:rPr>
      <w:rFonts w:ascii="Times New Roman" w:eastAsia="Times New Roman" w:hAnsi="Times New Roman" w:cs="Times New Roman"/>
      <w:sz w:val="24"/>
      <w:szCs w:val="24"/>
    </w:rPr>
  </w:style>
  <w:style w:type="character" w:styleId="Hyperlink">
    <w:name w:val="Hyperlink"/>
    <w:basedOn w:val="DefaultParagraphFont"/>
    <w:uiPriority w:val="99"/>
    <w:rsid w:val="00F9378B"/>
    <w:rPr>
      <w:color w:val="0000FF"/>
      <w:u w:val="single"/>
    </w:rPr>
  </w:style>
  <w:style w:type="paragraph" w:styleId="FootnoteText">
    <w:name w:val="footnote text"/>
    <w:basedOn w:val="Normal"/>
    <w:link w:val="FootnoteTextChar"/>
    <w:uiPriority w:val="99"/>
    <w:semiHidden/>
    <w:rsid w:val="00F9378B"/>
    <w:rPr>
      <w:sz w:val="20"/>
      <w:szCs w:val="20"/>
    </w:rPr>
  </w:style>
  <w:style w:type="character" w:customStyle="1" w:styleId="FootnoteTextChar">
    <w:name w:val="Footnote Text Char"/>
    <w:basedOn w:val="DefaultParagraphFont"/>
    <w:link w:val="FootnoteText"/>
    <w:uiPriority w:val="99"/>
    <w:semiHidden/>
    <w:rsid w:val="00F937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937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gtr.gov.au/internet/ogtr/publishing.nsf/Content/riskassessments-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tr.gov.au/internet/ogtr/publishing.nsf/Content/policies-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523</Words>
  <Characters>2897</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Licensing of Plant GMOs in which Different Genetic Modifications have been Combined (or 'Stacked') by Conventional Breeding</dc:title>
  <dc:subject/>
  <dc:creator>OGTR.Voicemail@health.gov.au</dc:creator>
  <cp:keywords/>
  <dc:description/>
  <cp:lastModifiedBy>SMITH, Justine</cp:lastModifiedBy>
  <cp:revision>2</cp:revision>
  <dcterms:created xsi:type="dcterms:W3CDTF">2020-11-30T01:51:00Z</dcterms:created>
  <dcterms:modified xsi:type="dcterms:W3CDTF">2020-11-30T01:57:00Z</dcterms:modified>
</cp:coreProperties>
</file>